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E3632E" w14:paraId="4492890B" w14:textId="77777777" w:rsidTr="0036157B">
        <w:trPr>
          <w:trHeight w:val="720"/>
        </w:trPr>
        <w:tc>
          <w:tcPr>
            <w:tcW w:w="9540" w:type="dxa"/>
            <w:gridSpan w:val="4"/>
          </w:tcPr>
          <w:p w14:paraId="06068E6C" w14:textId="77777777" w:rsidR="00E3632E" w:rsidRPr="0008700C" w:rsidRDefault="00E3632E" w:rsidP="0036157B">
            <w:pPr>
              <w:jc w:val="center"/>
              <w:rPr>
                <w:b/>
              </w:rPr>
            </w:pPr>
            <w:r w:rsidRPr="0008700C">
              <w:rPr>
                <w:b/>
              </w:rPr>
              <w:t>HA Resource Hub Submission Form</w:t>
            </w:r>
          </w:p>
        </w:tc>
      </w:tr>
      <w:tr w:rsidR="00E3632E" w14:paraId="7056135B" w14:textId="77777777" w:rsidTr="0036157B">
        <w:trPr>
          <w:trHeight w:val="555"/>
        </w:trPr>
        <w:tc>
          <w:tcPr>
            <w:tcW w:w="6735" w:type="dxa"/>
            <w:gridSpan w:val="3"/>
          </w:tcPr>
          <w:p w14:paraId="44A05399" w14:textId="77777777" w:rsidR="00E3632E" w:rsidRPr="0008700C" w:rsidRDefault="00E3632E" w:rsidP="0036157B">
            <w:pPr>
              <w:rPr>
                <w:b/>
              </w:rPr>
            </w:pPr>
            <w:r w:rsidRPr="0008700C">
              <w:rPr>
                <w:b/>
              </w:rPr>
              <w:t>Resource Title:</w:t>
            </w:r>
            <w:r>
              <w:rPr>
                <w:b/>
              </w:rPr>
              <w:t xml:space="preserve"> Practice NEA Russia </w:t>
            </w:r>
          </w:p>
        </w:tc>
        <w:tc>
          <w:tcPr>
            <w:tcW w:w="2805" w:type="dxa"/>
          </w:tcPr>
          <w:p w14:paraId="55B3DDF0" w14:textId="77777777" w:rsidR="00E3632E" w:rsidRPr="0008700C" w:rsidRDefault="00E3632E" w:rsidP="0036157B">
            <w:pPr>
              <w:rPr>
                <w:b/>
              </w:rPr>
            </w:pPr>
            <w:r w:rsidRPr="0008700C">
              <w:rPr>
                <w:b/>
              </w:rPr>
              <w:t>Age Range:</w:t>
            </w:r>
            <w:r>
              <w:rPr>
                <w:b/>
              </w:rPr>
              <w:t xml:space="preserve"> Year 12</w:t>
            </w:r>
          </w:p>
        </w:tc>
      </w:tr>
      <w:tr w:rsidR="00E3632E" w14:paraId="4E003DC1" w14:textId="77777777" w:rsidTr="0036157B">
        <w:trPr>
          <w:trHeight w:val="585"/>
        </w:trPr>
        <w:tc>
          <w:tcPr>
            <w:tcW w:w="4620" w:type="dxa"/>
          </w:tcPr>
          <w:p w14:paraId="31317BBA" w14:textId="77777777" w:rsidR="00E3632E" w:rsidRDefault="00E3632E" w:rsidP="0036157B">
            <w:pPr>
              <w:rPr>
                <w:b/>
              </w:rPr>
            </w:pPr>
            <w:r w:rsidRPr="0008700C">
              <w:rPr>
                <w:b/>
              </w:rPr>
              <w:t>Author name and email contact:</w:t>
            </w:r>
          </w:p>
          <w:p w14:paraId="5264572D" w14:textId="77777777" w:rsidR="00E3632E" w:rsidRDefault="00E3632E" w:rsidP="0036157B">
            <w:pPr>
              <w:rPr>
                <w:b/>
              </w:rPr>
            </w:pPr>
            <w:r>
              <w:rPr>
                <w:b/>
              </w:rPr>
              <w:t>Sally Burnham</w:t>
            </w:r>
          </w:p>
          <w:p w14:paraId="6E71338F" w14:textId="77777777" w:rsidR="00E3632E" w:rsidRPr="0008700C" w:rsidRDefault="00E3632E" w:rsidP="0036157B">
            <w:pPr>
              <w:rPr>
                <w:b/>
              </w:rPr>
            </w:pPr>
            <w:r>
              <w:rPr>
                <w:b/>
              </w:rPr>
              <w:t>Salburnham@yahoo.co.uk</w:t>
            </w:r>
          </w:p>
          <w:p w14:paraId="07D3E977" w14:textId="77777777" w:rsidR="00E3632E" w:rsidRDefault="00E3632E" w:rsidP="0036157B"/>
        </w:tc>
        <w:tc>
          <w:tcPr>
            <w:tcW w:w="4920" w:type="dxa"/>
            <w:gridSpan w:val="3"/>
          </w:tcPr>
          <w:p w14:paraId="67B03F16" w14:textId="77777777" w:rsidR="00E3632E" w:rsidRDefault="00E3632E" w:rsidP="0036157B">
            <w:pPr>
              <w:rPr>
                <w:b/>
              </w:rPr>
            </w:pPr>
            <w:r w:rsidRPr="0008700C">
              <w:rPr>
                <w:b/>
              </w:rPr>
              <w:t xml:space="preserve">Resource Details: (e.g. how many documents does it consist of? In which order?) </w:t>
            </w:r>
          </w:p>
          <w:p w14:paraId="6F712C6B" w14:textId="77777777" w:rsidR="00E3632E" w:rsidRPr="00E3632E" w:rsidRDefault="00E3632E" w:rsidP="0036157B">
            <w:r w:rsidRPr="00E3632E">
              <w:t xml:space="preserve">One PPT </w:t>
            </w:r>
          </w:p>
          <w:p w14:paraId="63C2079E" w14:textId="6E08A579" w:rsidR="00E3632E" w:rsidRPr="00E3632E" w:rsidRDefault="00E3632E" w:rsidP="0036157B">
            <w:proofErr w:type="spellStart"/>
            <w:r w:rsidRPr="00E3632E">
              <w:t>Yr</w:t>
            </w:r>
            <w:proofErr w:type="spellEnd"/>
            <w:r w:rsidRPr="00E3632E">
              <w:t xml:space="preserve"> 12 Independent study sheet</w:t>
            </w:r>
            <w:r>
              <w:t xml:space="preserve"> (below)</w:t>
            </w:r>
          </w:p>
          <w:p w14:paraId="25AB3741" w14:textId="77B5F5A9" w:rsidR="00E3632E" w:rsidRPr="00E3632E" w:rsidRDefault="00E3632E" w:rsidP="0036157B">
            <w:r w:rsidRPr="00E3632E">
              <w:t>Mark scheme sheet</w:t>
            </w:r>
            <w:r>
              <w:t xml:space="preserve"> (below)</w:t>
            </w:r>
          </w:p>
          <w:p w14:paraId="34737FF2" w14:textId="77777777" w:rsidR="00E3632E" w:rsidRPr="0008700C" w:rsidRDefault="00E3632E" w:rsidP="0036157B">
            <w:pPr>
              <w:rPr>
                <w:b/>
              </w:rPr>
            </w:pPr>
          </w:p>
        </w:tc>
      </w:tr>
      <w:tr w:rsidR="00E3632E" w14:paraId="69A1BE8D" w14:textId="77777777" w:rsidTr="0036157B">
        <w:trPr>
          <w:trHeight w:val="1170"/>
        </w:trPr>
        <w:tc>
          <w:tcPr>
            <w:tcW w:w="4635" w:type="dxa"/>
            <w:gridSpan w:val="2"/>
          </w:tcPr>
          <w:p w14:paraId="7A4E02F4" w14:textId="77777777" w:rsidR="00E3632E" w:rsidRDefault="00E3632E" w:rsidP="0036157B">
            <w:pPr>
              <w:rPr>
                <w:b/>
              </w:rPr>
            </w:pPr>
            <w:r w:rsidRPr="0008700C">
              <w:rPr>
                <w:b/>
              </w:rPr>
              <w:t>Necessary prior learning to complete this:</w:t>
            </w:r>
          </w:p>
          <w:p w14:paraId="1DD455C9" w14:textId="77777777" w:rsidR="00E3632E" w:rsidRPr="00E3632E" w:rsidRDefault="00E3632E" w:rsidP="0036157B">
            <w:r w:rsidRPr="00E3632E">
              <w:t>Students need to have studied the topic you are setting them the practice NEA on.</w:t>
            </w:r>
          </w:p>
        </w:tc>
        <w:tc>
          <w:tcPr>
            <w:tcW w:w="4905" w:type="dxa"/>
            <w:gridSpan w:val="2"/>
          </w:tcPr>
          <w:p w14:paraId="75EBBF55" w14:textId="77777777" w:rsidR="00E3632E" w:rsidRDefault="00E3632E" w:rsidP="0036157B">
            <w:pPr>
              <w:rPr>
                <w:b/>
              </w:rPr>
            </w:pPr>
            <w:r w:rsidRPr="0008700C">
              <w:rPr>
                <w:b/>
              </w:rPr>
              <w:t xml:space="preserve">What does it lead to next? </w:t>
            </w:r>
          </w:p>
          <w:p w14:paraId="70180C5F" w14:textId="77777777" w:rsidR="00E3632E" w:rsidRPr="00E3632E" w:rsidRDefault="00E3632E" w:rsidP="0036157B">
            <w:r w:rsidRPr="00E3632E">
              <w:t>Prepares students to begin work on their real NEA</w:t>
            </w:r>
          </w:p>
          <w:p w14:paraId="659F9950" w14:textId="77777777" w:rsidR="00E3632E" w:rsidRDefault="00E3632E" w:rsidP="0036157B">
            <w:pPr>
              <w:rPr>
                <w:b/>
              </w:rPr>
            </w:pPr>
          </w:p>
          <w:p w14:paraId="36C97532" w14:textId="77777777" w:rsidR="00E3632E" w:rsidRPr="0008700C" w:rsidRDefault="00E3632E" w:rsidP="0036157B">
            <w:pPr>
              <w:rPr>
                <w:b/>
              </w:rPr>
            </w:pPr>
          </w:p>
        </w:tc>
      </w:tr>
      <w:tr w:rsidR="00E3632E" w14:paraId="379B4E34" w14:textId="77777777" w:rsidTr="00E3632E">
        <w:trPr>
          <w:trHeight w:val="4274"/>
        </w:trPr>
        <w:tc>
          <w:tcPr>
            <w:tcW w:w="9540" w:type="dxa"/>
            <w:gridSpan w:val="4"/>
          </w:tcPr>
          <w:p w14:paraId="7D181AAF" w14:textId="77777777" w:rsidR="00E3632E" w:rsidRDefault="00E3632E" w:rsidP="0036157B">
            <w:pPr>
              <w:rPr>
                <w:b/>
              </w:rPr>
            </w:pPr>
            <w:r w:rsidRPr="0008700C">
              <w:rPr>
                <w:b/>
              </w:rPr>
              <w:t xml:space="preserve">Explanation: How should this resource be used? </w:t>
            </w:r>
          </w:p>
          <w:p w14:paraId="20C4A842" w14:textId="3D16D94E" w:rsidR="00E3632E" w:rsidRPr="00E3632E" w:rsidRDefault="00E3632E" w:rsidP="00E3632E">
            <w:r w:rsidRPr="00E3632E">
              <w:t>Students need the PP</w:t>
            </w:r>
            <w:r>
              <w:t xml:space="preserve">T, plus the </w:t>
            </w:r>
            <w:proofErr w:type="spellStart"/>
            <w:r w:rsidRPr="00E3632E">
              <w:t>Yr</w:t>
            </w:r>
            <w:proofErr w:type="spellEnd"/>
            <w:r w:rsidRPr="00E3632E">
              <w:t xml:space="preserve"> 12 Independent study sheet</w:t>
            </w:r>
            <w:r>
              <w:t xml:space="preserve"> (below)</w:t>
            </w:r>
            <w:r>
              <w:t xml:space="preserve"> and </w:t>
            </w:r>
            <w:r w:rsidRPr="00E3632E">
              <w:t>Mark scheme sheet</w:t>
            </w:r>
            <w:r>
              <w:t xml:space="preserve"> (below)</w:t>
            </w:r>
            <w:r w:rsidRPr="00E3632E">
              <w:t xml:space="preserve">. </w:t>
            </w:r>
          </w:p>
          <w:p w14:paraId="3377A90B" w14:textId="77777777" w:rsidR="00E3632E" w:rsidRPr="00E3632E" w:rsidRDefault="00E3632E" w:rsidP="0036157B">
            <w:r w:rsidRPr="00E3632E">
              <w:t>The aim of this is to a) give students a chance to revise in depth one unit from their taught course this year and b) to give them a practice at NEA writing where you can give feedback (as you can’t give feedback for the real NEA.) It is important that this is a totally different topic to their real NEA or this breaks the guidelines.</w:t>
            </w:r>
          </w:p>
          <w:p w14:paraId="109CE643" w14:textId="77777777" w:rsidR="00E3632E" w:rsidRPr="00E3632E" w:rsidRDefault="00E3632E" w:rsidP="0036157B">
            <w:r w:rsidRPr="00E3632E">
              <w:t>Google scholar can be helpful for students to read extracts of books. I also give students the reading lists they have been using throughout the year to help them.</w:t>
            </w:r>
          </w:p>
          <w:p w14:paraId="6E3A54F4" w14:textId="77777777" w:rsidR="00E3632E" w:rsidRPr="00E3632E" w:rsidRDefault="00E3632E" w:rsidP="0036157B">
            <w:r w:rsidRPr="00E3632E">
              <w:t>This could be adapted to meet the requirements of other exam boards – this is designed for AQA spec.</w:t>
            </w:r>
          </w:p>
          <w:p w14:paraId="4EDA12D2" w14:textId="77777777" w:rsidR="00E3632E" w:rsidRDefault="00E3632E" w:rsidP="0036157B">
            <w:pPr>
              <w:rPr>
                <w:b/>
              </w:rPr>
            </w:pPr>
          </w:p>
          <w:p w14:paraId="1F10D7A2" w14:textId="77777777" w:rsidR="00E3632E" w:rsidRDefault="00E3632E" w:rsidP="0036157B">
            <w:pPr>
              <w:rPr>
                <w:b/>
              </w:rPr>
            </w:pPr>
          </w:p>
          <w:p w14:paraId="642D376B" w14:textId="77777777" w:rsidR="00E3632E" w:rsidRDefault="00E3632E" w:rsidP="0036157B">
            <w:pPr>
              <w:rPr>
                <w:b/>
              </w:rPr>
            </w:pPr>
          </w:p>
          <w:p w14:paraId="35B3EE58" w14:textId="77777777" w:rsidR="00E3632E" w:rsidRDefault="00E3632E" w:rsidP="0036157B">
            <w:pPr>
              <w:rPr>
                <w:b/>
              </w:rPr>
            </w:pPr>
          </w:p>
          <w:p w14:paraId="52CB8414" w14:textId="77777777" w:rsidR="00E3632E" w:rsidRDefault="00E3632E" w:rsidP="0036157B">
            <w:pPr>
              <w:rPr>
                <w:b/>
              </w:rPr>
            </w:pPr>
          </w:p>
          <w:p w14:paraId="6496D27F" w14:textId="77777777" w:rsidR="00E3632E" w:rsidRDefault="00E3632E" w:rsidP="0036157B">
            <w:pPr>
              <w:rPr>
                <w:b/>
              </w:rPr>
            </w:pPr>
          </w:p>
          <w:p w14:paraId="09164D2C" w14:textId="77777777" w:rsidR="00E3632E" w:rsidRPr="0008700C" w:rsidRDefault="00E3632E" w:rsidP="0036157B">
            <w:pPr>
              <w:rPr>
                <w:b/>
              </w:rPr>
            </w:pPr>
          </w:p>
        </w:tc>
      </w:tr>
    </w:tbl>
    <w:p w14:paraId="26B4F16D" w14:textId="06D66E84" w:rsidR="008831D7" w:rsidRPr="00E3632E" w:rsidRDefault="00930643" w:rsidP="008831D7">
      <w:pPr>
        <w:jc w:val="center"/>
        <w:rPr>
          <w:b/>
          <w:sz w:val="28"/>
          <w:szCs w:val="28"/>
          <w:u w:val="single"/>
        </w:rPr>
      </w:pPr>
      <w:r w:rsidRPr="00E3632E">
        <w:rPr>
          <w:b/>
          <w:sz w:val="28"/>
          <w:szCs w:val="28"/>
          <w:u w:val="single"/>
        </w:rPr>
        <w:t xml:space="preserve">Year 12 Independent Study </w:t>
      </w:r>
      <w:r w:rsidR="00F25645" w:rsidRPr="00E3632E">
        <w:rPr>
          <w:b/>
          <w:sz w:val="28"/>
          <w:szCs w:val="28"/>
          <w:u w:val="single"/>
        </w:rPr>
        <w:t>–</w:t>
      </w:r>
      <w:r w:rsidR="008831D7" w:rsidRPr="00E3632E">
        <w:rPr>
          <w:b/>
          <w:sz w:val="28"/>
          <w:szCs w:val="28"/>
          <w:u w:val="single"/>
        </w:rPr>
        <w:t xml:space="preserve"> </w:t>
      </w:r>
      <w:r w:rsidR="00793766" w:rsidRPr="00E3632E">
        <w:rPr>
          <w:b/>
          <w:sz w:val="28"/>
          <w:szCs w:val="28"/>
          <w:u w:val="single"/>
        </w:rPr>
        <w:t>March</w:t>
      </w:r>
      <w:r w:rsidR="00F25645" w:rsidRPr="00E3632E">
        <w:rPr>
          <w:b/>
          <w:sz w:val="28"/>
          <w:szCs w:val="28"/>
          <w:u w:val="single"/>
        </w:rPr>
        <w:t xml:space="preserve"> </w:t>
      </w:r>
      <w:r w:rsidR="008831D7" w:rsidRPr="00E3632E">
        <w:rPr>
          <w:b/>
          <w:sz w:val="28"/>
          <w:szCs w:val="28"/>
          <w:u w:val="single"/>
        </w:rPr>
        <w:t>to</w:t>
      </w:r>
      <w:r w:rsidR="0066728B" w:rsidRPr="00E3632E">
        <w:rPr>
          <w:b/>
          <w:sz w:val="28"/>
          <w:szCs w:val="28"/>
          <w:u w:val="single"/>
        </w:rPr>
        <w:t xml:space="preserve"> </w:t>
      </w:r>
      <w:r w:rsidR="00793766" w:rsidRPr="00E3632E">
        <w:rPr>
          <w:b/>
          <w:sz w:val="28"/>
          <w:szCs w:val="28"/>
          <w:u w:val="single"/>
        </w:rPr>
        <w:t xml:space="preserve">May </w:t>
      </w:r>
      <w:r w:rsidR="0066728B" w:rsidRPr="00E3632E">
        <w:rPr>
          <w:b/>
          <w:sz w:val="28"/>
          <w:szCs w:val="28"/>
          <w:u w:val="single"/>
        </w:rPr>
        <w:t>20</w:t>
      </w:r>
      <w:r w:rsidR="00F25645" w:rsidRPr="00E3632E">
        <w:rPr>
          <w:b/>
          <w:sz w:val="28"/>
          <w:szCs w:val="28"/>
          <w:u w:val="single"/>
        </w:rPr>
        <w:t>20</w:t>
      </w:r>
    </w:p>
    <w:p w14:paraId="069EA0A4" w14:textId="77777777" w:rsidR="00930643" w:rsidRPr="00500FD2" w:rsidRDefault="00930643">
      <w:pPr>
        <w:rPr>
          <w:b/>
          <w:sz w:val="24"/>
          <w:szCs w:val="24"/>
        </w:rPr>
      </w:pPr>
      <w:r w:rsidRPr="00500FD2">
        <w:rPr>
          <w:b/>
          <w:sz w:val="24"/>
          <w:szCs w:val="24"/>
        </w:rPr>
        <w:t>Non-Examined Assessment – Practice</w:t>
      </w:r>
    </w:p>
    <w:p w14:paraId="0E857658" w14:textId="442FE742" w:rsidR="00930643" w:rsidRPr="00500FD2" w:rsidRDefault="00930643">
      <w:pPr>
        <w:rPr>
          <w:sz w:val="24"/>
          <w:szCs w:val="24"/>
        </w:rPr>
      </w:pPr>
      <w:r w:rsidRPr="00500FD2">
        <w:rPr>
          <w:sz w:val="24"/>
          <w:szCs w:val="24"/>
        </w:rPr>
        <w:t xml:space="preserve">Choose one of the following titles from the Russia course. You </w:t>
      </w:r>
      <w:r w:rsidR="00D57476" w:rsidRPr="00500FD2">
        <w:rPr>
          <w:sz w:val="24"/>
          <w:szCs w:val="24"/>
        </w:rPr>
        <w:t xml:space="preserve">are going to write a 2500 </w:t>
      </w:r>
      <w:r w:rsidR="00F25645" w:rsidRPr="00500FD2">
        <w:rPr>
          <w:sz w:val="24"/>
          <w:szCs w:val="24"/>
        </w:rPr>
        <w:t xml:space="preserve">– </w:t>
      </w:r>
      <w:proofErr w:type="gramStart"/>
      <w:r w:rsidR="00F25645" w:rsidRPr="00500FD2">
        <w:rPr>
          <w:sz w:val="24"/>
          <w:szCs w:val="24"/>
        </w:rPr>
        <w:t xml:space="preserve">3000 </w:t>
      </w:r>
      <w:r w:rsidRPr="00500FD2">
        <w:rPr>
          <w:sz w:val="24"/>
          <w:szCs w:val="24"/>
        </w:rPr>
        <w:t>word</w:t>
      </w:r>
      <w:proofErr w:type="gramEnd"/>
      <w:r w:rsidRPr="00500FD2">
        <w:rPr>
          <w:sz w:val="24"/>
          <w:szCs w:val="24"/>
        </w:rPr>
        <w:t xml:space="preserve"> essay using the skills you will need in your real NEA on Civil Rights in America 1865-1968.</w:t>
      </w:r>
    </w:p>
    <w:p w14:paraId="3119BB60" w14:textId="77777777" w:rsidR="00930643" w:rsidRPr="00500FD2" w:rsidRDefault="00930643" w:rsidP="00930643">
      <w:pPr>
        <w:pStyle w:val="ListParagraph"/>
        <w:numPr>
          <w:ilvl w:val="0"/>
          <w:numId w:val="1"/>
        </w:numPr>
        <w:rPr>
          <w:sz w:val="24"/>
          <w:szCs w:val="24"/>
        </w:rPr>
      </w:pPr>
      <w:r w:rsidRPr="00500FD2">
        <w:rPr>
          <w:sz w:val="24"/>
          <w:szCs w:val="24"/>
        </w:rPr>
        <w:t>How far was economic distress the cause of the February 1917 revolution?</w:t>
      </w:r>
    </w:p>
    <w:p w14:paraId="43362E90" w14:textId="77777777" w:rsidR="00930643" w:rsidRPr="00500FD2" w:rsidRDefault="00930643" w:rsidP="00930643">
      <w:pPr>
        <w:pStyle w:val="ListParagraph"/>
        <w:numPr>
          <w:ilvl w:val="0"/>
          <w:numId w:val="1"/>
        </w:numPr>
        <w:rPr>
          <w:sz w:val="24"/>
          <w:szCs w:val="24"/>
        </w:rPr>
      </w:pPr>
      <w:r w:rsidRPr="00500FD2">
        <w:rPr>
          <w:sz w:val="24"/>
          <w:szCs w:val="24"/>
        </w:rPr>
        <w:t>Why did the Provisional Government fail to maintain its seizure of power?</w:t>
      </w:r>
    </w:p>
    <w:p w14:paraId="10A5183E" w14:textId="77777777" w:rsidR="00930643" w:rsidRPr="00500FD2" w:rsidRDefault="00930643" w:rsidP="00930643">
      <w:pPr>
        <w:pStyle w:val="ListParagraph"/>
        <w:numPr>
          <w:ilvl w:val="0"/>
          <w:numId w:val="1"/>
        </w:numPr>
        <w:rPr>
          <w:sz w:val="24"/>
          <w:szCs w:val="24"/>
        </w:rPr>
      </w:pPr>
      <w:r w:rsidRPr="00500FD2">
        <w:rPr>
          <w:sz w:val="24"/>
          <w:szCs w:val="24"/>
        </w:rPr>
        <w:t>To what extent was the Red victory in the Civil War due to Trotsky’s leadership?</w:t>
      </w:r>
    </w:p>
    <w:p w14:paraId="289FB268" w14:textId="77777777" w:rsidR="00930643" w:rsidRPr="00500FD2" w:rsidRDefault="00930643" w:rsidP="00930643">
      <w:pPr>
        <w:pStyle w:val="ListParagraph"/>
        <w:numPr>
          <w:ilvl w:val="0"/>
          <w:numId w:val="1"/>
        </w:numPr>
        <w:rPr>
          <w:sz w:val="24"/>
          <w:szCs w:val="24"/>
        </w:rPr>
      </w:pPr>
      <w:r w:rsidRPr="00500FD2">
        <w:rPr>
          <w:sz w:val="24"/>
          <w:szCs w:val="24"/>
        </w:rPr>
        <w:t>The introduction of the NEP was a betrayal of all the Bolsheviks had fought for since October 1917. Assess the validity of this view.</w:t>
      </w:r>
    </w:p>
    <w:p w14:paraId="118BF5E2" w14:textId="77777777" w:rsidR="00930643" w:rsidRPr="00500FD2" w:rsidRDefault="00930643" w:rsidP="00930643">
      <w:pPr>
        <w:pStyle w:val="ListParagraph"/>
        <w:numPr>
          <w:ilvl w:val="0"/>
          <w:numId w:val="1"/>
        </w:numPr>
        <w:rPr>
          <w:sz w:val="24"/>
          <w:szCs w:val="24"/>
        </w:rPr>
      </w:pPr>
      <w:r w:rsidRPr="00500FD2">
        <w:rPr>
          <w:sz w:val="24"/>
          <w:szCs w:val="24"/>
        </w:rPr>
        <w:t>‘Stalin won the power struggle because his opponents underestimated him.’ Assess the validity of this view.</w:t>
      </w:r>
    </w:p>
    <w:p w14:paraId="4164981F" w14:textId="77777777" w:rsidR="00930643" w:rsidRPr="00500FD2" w:rsidRDefault="00930643" w:rsidP="00930643">
      <w:pPr>
        <w:pStyle w:val="ListParagraph"/>
        <w:rPr>
          <w:sz w:val="24"/>
          <w:szCs w:val="24"/>
        </w:rPr>
      </w:pPr>
    </w:p>
    <w:p w14:paraId="4B2CBFDE" w14:textId="57BB2D1A" w:rsidR="00930643" w:rsidRPr="00500FD2" w:rsidRDefault="00930643">
      <w:pPr>
        <w:rPr>
          <w:sz w:val="24"/>
          <w:szCs w:val="24"/>
        </w:rPr>
      </w:pPr>
      <w:r w:rsidRPr="00500FD2">
        <w:rPr>
          <w:sz w:val="24"/>
          <w:szCs w:val="24"/>
        </w:rPr>
        <w:t>Within your essay you need to choose two historians who argue different things about this topic. You are going to explain which view you find more convincing and why, referring to their argume</w:t>
      </w:r>
      <w:r w:rsidR="008831D7" w:rsidRPr="00500FD2">
        <w:rPr>
          <w:sz w:val="24"/>
          <w:szCs w:val="24"/>
        </w:rPr>
        <w:t xml:space="preserve">nts as well as their background, the context in which they are writing and their </w:t>
      </w:r>
      <w:r w:rsidR="00500FD2" w:rsidRPr="00500FD2">
        <w:rPr>
          <w:sz w:val="24"/>
          <w:szCs w:val="24"/>
        </w:rPr>
        <w:t>evidential</w:t>
      </w:r>
      <w:r w:rsidR="008831D7" w:rsidRPr="00500FD2">
        <w:rPr>
          <w:sz w:val="24"/>
          <w:szCs w:val="24"/>
        </w:rPr>
        <w:t xml:space="preserve"> choices.</w:t>
      </w:r>
    </w:p>
    <w:p w14:paraId="0EC982FD" w14:textId="77777777" w:rsidR="00930643" w:rsidRPr="00500FD2" w:rsidRDefault="00930643">
      <w:pPr>
        <w:rPr>
          <w:sz w:val="24"/>
          <w:szCs w:val="24"/>
        </w:rPr>
      </w:pPr>
      <w:r w:rsidRPr="00500FD2">
        <w:rPr>
          <w:sz w:val="24"/>
          <w:szCs w:val="24"/>
        </w:rPr>
        <w:t xml:space="preserve">You also need to find 2 </w:t>
      </w:r>
      <w:r w:rsidR="002818C2" w:rsidRPr="00500FD2">
        <w:rPr>
          <w:sz w:val="24"/>
          <w:szCs w:val="24"/>
        </w:rPr>
        <w:t xml:space="preserve">primary </w:t>
      </w:r>
      <w:r w:rsidRPr="00500FD2">
        <w:rPr>
          <w:sz w:val="24"/>
          <w:szCs w:val="24"/>
        </w:rPr>
        <w:t>sources that you can use in your essay. You need to evaluate how valuable they are for a historian studying your question.</w:t>
      </w:r>
    </w:p>
    <w:p w14:paraId="63B2E77E" w14:textId="37A87242" w:rsidR="00930643" w:rsidRPr="00500FD2" w:rsidRDefault="00930643">
      <w:pPr>
        <w:rPr>
          <w:sz w:val="24"/>
          <w:szCs w:val="24"/>
        </w:rPr>
      </w:pPr>
      <w:r w:rsidRPr="00500FD2">
        <w:rPr>
          <w:sz w:val="24"/>
          <w:szCs w:val="24"/>
        </w:rPr>
        <w:t xml:space="preserve">This piece of work brings together the </w:t>
      </w:r>
      <w:r w:rsidR="00500FD2" w:rsidRPr="00500FD2">
        <w:rPr>
          <w:sz w:val="24"/>
          <w:szCs w:val="24"/>
        </w:rPr>
        <w:t xml:space="preserve">knowledge </w:t>
      </w:r>
      <w:r w:rsidRPr="00500FD2">
        <w:rPr>
          <w:sz w:val="24"/>
          <w:szCs w:val="24"/>
        </w:rPr>
        <w:t xml:space="preserve">we have </w:t>
      </w:r>
      <w:r w:rsidR="00500FD2" w:rsidRPr="00500FD2">
        <w:rPr>
          <w:sz w:val="24"/>
          <w:szCs w:val="24"/>
        </w:rPr>
        <w:t>studied</w:t>
      </w:r>
      <w:r w:rsidRPr="00500FD2">
        <w:rPr>
          <w:sz w:val="24"/>
          <w:szCs w:val="24"/>
        </w:rPr>
        <w:t xml:space="preserve"> on Russia as well as the skills you have learned – essay writing, interpretations (Stuart course) and source analysis (Russia course).</w:t>
      </w:r>
    </w:p>
    <w:p w14:paraId="6167C6D4" w14:textId="77777777" w:rsidR="00D57476" w:rsidRPr="00500FD2" w:rsidRDefault="00D57476">
      <w:pPr>
        <w:rPr>
          <w:sz w:val="24"/>
          <w:szCs w:val="24"/>
        </w:rPr>
      </w:pPr>
      <w:r w:rsidRPr="00500FD2">
        <w:rPr>
          <w:sz w:val="24"/>
          <w:szCs w:val="24"/>
        </w:rPr>
        <w:t xml:space="preserve">You will need to do </w:t>
      </w:r>
      <w:r w:rsidRPr="00500FD2">
        <w:rPr>
          <w:b/>
          <w:bCs/>
          <w:sz w:val="24"/>
          <w:szCs w:val="24"/>
          <w:u w:val="single"/>
        </w:rPr>
        <w:t>extra reading</w:t>
      </w:r>
      <w:r w:rsidRPr="00500FD2">
        <w:rPr>
          <w:b/>
          <w:bCs/>
          <w:sz w:val="24"/>
          <w:szCs w:val="24"/>
        </w:rPr>
        <w:t xml:space="preserve"> </w:t>
      </w:r>
      <w:r w:rsidRPr="00500FD2">
        <w:rPr>
          <w:sz w:val="24"/>
          <w:szCs w:val="24"/>
        </w:rPr>
        <w:t>for this. Use the reading list as a starting point and then use the suggested reading in articles that you read to look at other books/articles/podcasts.</w:t>
      </w:r>
      <w:r w:rsidR="008831D7" w:rsidRPr="00500FD2">
        <w:rPr>
          <w:sz w:val="24"/>
          <w:szCs w:val="24"/>
        </w:rPr>
        <w:t xml:space="preserve"> You will</w:t>
      </w:r>
      <w:r w:rsidR="0066728B" w:rsidRPr="00500FD2">
        <w:rPr>
          <w:sz w:val="24"/>
          <w:szCs w:val="24"/>
        </w:rPr>
        <w:t xml:space="preserve"> need to include a bibliography and use footnotes.</w:t>
      </w:r>
    </w:p>
    <w:p w14:paraId="6543AF18" w14:textId="77777777" w:rsidR="00603005" w:rsidRPr="00500FD2" w:rsidRDefault="00603005">
      <w:pPr>
        <w:rPr>
          <w:sz w:val="24"/>
          <w:szCs w:val="24"/>
        </w:rPr>
      </w:pPr>
    </w:p>
    <w:p w14:paraId="70A12420" w14:textId="085DB887" w:rsidR="00603005" w:rsidRDefault="00603005">
      <w:pPr>
        <w:rPr>
          <w:b/>
          <w:sz w:val="24"/>
          <w:szCs w:val="24"/>
        </w:rPr>
      </w:pPr>
      <w:r w:rsidRPr="00500FD2">
        <w:rPr>
          <w:b/>
          <w:sz w:val="24"/>
          <w:szCs w:val="24"/>
        </w:rPr>
        <w:t xml:space="preserve">Deadline: </w:t>
      </w:r>
      <w:r w:rsidR="00793766">
        <w:rPr>
          <w:b/>
          <w:sz w:val="24"/>
          <w:szCs w:val="24"/>
        </w:rPr>
        <w:t>Friday 15</w:t>
      </w:r>
      <w:r w:rsidR="00793766" w:rsidRPr="00793766">
        <w:rPr>
          <w:b/>
          <w:sz w:val="24"/>
          <w:szCs w:val="24"/>
          <w:vertAlign w:val="superscript"/>
        </w:rPr>
        <w:t>th</w:t>
      </w:r>
      <w:r w:rsidR="00793766">
        <w:rPr>
          <w:b/>
          <w:sz w:val="24"/>
          <w:szCs w:val="24"/>
        </w:rPr>
        <w:t xml:space="preserve"> May </w:t>
      </w:r>
      <w:r w:rsidR="00500FD2" w:rsidRPr="00500FD2">
        <w:rPr>
          <w:b/>
          <w:sz w:val="24"/>
          <w:szCs w:val="24"/>
        </w:rPr>
        <w:t>2020</w:t>
      </w:r>
    </w:p>
    <w:p w14:paraId="51C35F84" w14:textId="77777777" w:rsidR="00E3632E" w:rsidRPr="00E3632E" w:rsidRDefault="00E3632E" w:rsidP="00E3632E">
      <w:pPr>
        <w:jc w:val="center"/>
        <w:rPr>
          <w:b/>
          <w:bCs/>
          <w:sz w:val="28"/>
          <w:szCs w:val="28"/>
          <w:u w:val="single"/>
        </w:rPr>
      </w:pPr>
      <w:r>
        <w:rPr>
          <w:b/>
          <w:sz w:val="24"/>
          <w:szCs w:val="24"/>
        </w:rPr>
        <w:br w:type="column"/>
      </w:r>
      <w:r w:rsidRPr="00E3632E">
        <w:rPr>
          <w:b/>
          <w:bCs/>
          <w:sz w:val="28"/>
          <w:szCs w:val="28"/>
          <w:u w:val="single"/>
        </w:rPr>
        <w:t>Year 12</w:t>
      </w:r>
      <w:bookmarkStart w:id="0" w:name="_GoBack"/>
      <w:bookmarkEnd w:id="0"/>
      <w:r w:rsidRPr="00E3632E">
        <w:rPr>
          <w:b/>
          <w:bCs/>
          <w:sz w:val="28"/>
          <w:szCs w:val="28"/>
          <w:u w:val="single"/>
        </w:rPr>
        <w:t xml:space="preserve"> practice NEA Mark scheme</w:t>
      </w:r>
    </w:p>
    <w:p w14:paraId="20711A88" w14:textId="35AAA56A" w:rsidR="00E3632E" w:rsidRDefault="00E3632E" w:rsidP="00E3632E">
      <w:r>
        <w:t xml:space="preserve">Here is the mark scheme to help you ensure that you are fulfilling the requirements for the practice NEA. </w:t>
      </w:r>
    </w:p>
    <w:p w14:paraId="2E1385E9" w14:textId="77777777" w:rsidR="00E3632E" w:rsidRDefault="00E3632E" w:rsidP="00E3632E">
      <w:pPr>
        <w:shd w:val="clear" w:color="auto" w:fill="FFFFFF"/>
        <w:spacing w:after="0" w:line="360" w:lineRule="atLeast"/>
        <w:textAlignment w:val="baseline"/>
        <w:rPr>
          <w:rFonts w:eastAsia="Times New Roman" w:cstheme="minorHAnsi"/>
          <w:color w:val="4C4C4B"/>
          <w:sz w:val="36"/>
          <w:szCs w:val="36"/>
        </w:rPr>
      </w:pPr>
      <w:r>
        <w:rPr>
          <w:rFonts w:eastAsia="Times New Roman" w:cstheme="minorHAnsi"/>
          <w:b/>
          <w:bCs/>
          <w:color w:val="4C4C4B"/>
          <w:sz w:val="36"/>
          <w:szCs w:val="36"/>
          <w:bdr w:val="none" w:sz="0" w:space="0" w:color="auto" w:frame="1"/>
        </w:rPr>
        <w:t>AO1: 20 marks (essay)</w:t>
      </w:r>
    </w:p>
    <w:p w14:paraId="3E04FF75" w14:textId="77777777" w:rsidR="00E3632E" w:rsidRDefault="00E3632E" w:rsidP="00E3632E">
      <w:pPr>
        <w:shd w:val="clear" w:color="auto" w:fill="FFFFFF"/>
        <w:spacing w:after="240" w:line="360" w:lineRule="atLeast"/>
        <w:textAlignment w:val="baseline"/>
        <w:rPr>
          <w:rFonts w:eastAsia="Times New Roman" w:cstheme="minorHAnsi"/>
          <w:color w:val="4C4C4B"/>
        </w:rPr>
      </w:pPr>
      <w:r>
        <w:rPr>
          <w:rFonts w:eastAsia="Times New Roman" w:cstheme="minorHAnsi"/>
          <w:color w:val="4C4C4B"/>
        </w:rPr>
        <w:t>Demonstrate, organise and communicate knowledge and understanding to analyse and evaluate the key features related to the periods studied, making substantiated judgements and exploring concepts, as relevant, of cause, consequence, change, continuity, similarity and significance.</w:t>
      </w:r>
    </w:p>
    <w:p w14:paraId="60C8EDBD" w14:textId="77777777" w:rsidR="00E3632E" w:rsidRDefault="00E3632E" w:rsidP="00E3632E">
      <w:pPr>
        <w:shd w:val="clear" w:color="auto" w:fill="FFFFFF"/>
        <w:spacing w:after="0" w:line="360" w:lineRule="atLeast"/>
        <w:textAlignment w:val="baseline"/>
        <w:rPr>
          <w:rFonts w:eastAsia="Times New Roman" w:cstheme="minorHAnsi"/>
          <w:color w:val="4C4C4B"/>
        </w:rPr>
      </w:pPr>
      <w:r>
        <w:rPr>
          <w:rFonts w:eastAsia="Times New Roman" w:cstheme="minorHAnsi"/>
          <w:b/>
          <w:bCs/>
          <w:color w:val="4C4C4B"/>
          <w:bdr w:val="none" w:sz="0" w:space="0" w:color="auto" w:frame="1"/>
        </w:rPr>
        <w:t>Level 5: 17–20</w:t>
      </w:r>
      <w:r>
        <w:rPr>
          <w:rFonts w:eastAsia="Times New Roman" w:cstheme="minorHAnsi"/>
          <w:color w:val="4C4C4B"/>
        </w:rPr>
        <w:t> The response demonstrates a very good understanding of the context and meets the full demands of the chosen question. It is very well organised and effectively delivered. The supporting information is well-selected, specific and precise. It shows a very good understanding of key features, issues and concepts. The answer is fully analytical with a balanced argument and well-substantiated judgement.</w:t>
      </w:r>
    </w:p>
    <w:p w14:paraId="17555B62" w14:textId="77777777" w:rsidR="00E3632E" w:rsidRDefault="00E3632E" w:rsidP="00E3632E">
      <w:pPr>
        <w:shd w:val="clear" w:color="auto" w:fill="FFFFFF"/>
        <w:spacing w:after="0" w:line="360" w:lineRule="atLeast"/>
        <w:textAlignment w:val="baseline"/>
        <w:rPr>
          <w:rFonts w:eastAsia="Times New Roman" w:cstheme="minorHAnsi"/>
          <w:color w:val="4C4C4B"/>
        </w:rPr>
      </w:pPr>
    </w:p>
    <w:p w14:paraId="409F6B69" w14:textId="77777777" w:rsidR="00E3632E" w:rsidRDefault="00E3632E" w:rsidP="00E3632E">
      <w:pPr>
        <w:shd w:val="clear" w:color="auto" w:fill="FFFFFF"/>
        <w:spacing w:after="0" w:line="360" w:lineRule="atLeast"/>
        <w:textAlignment w:val="baseline"/>
        <w:rPr>
          <w:rFonts w:eastAsia="Times New Roman" w:cstheme="minorHAnsi"/>
          <w:color w:val="4C4C4B"/>
        </w:rPr>
      </w:pPr>
      <w:r>
        <w:rPr>
          <w:rFonts w:eastAsia="Times New Roman" w:cstheme="minorHAnsi"/>
          <w:b/>
          <w:bCs/>
          <w:color w:val="4C4C4B"/>
          <w:bdr w:val="none" w:sz="0" w:space="0" w:color="auto" w:frame="1"/>
        </w:rPr>
        <w:t>Level 4: 13–16</w:t>
      </w:r>
      <w:r>
        <w:rPr>
          <w:rFonts w:eastAsia="Times New Roman" w:cstheme="minorHAnsi"/>
          <w:color w:val="4C4C4B"/>
        </w:rPr>
        <w:t> The response demonstrates a good understanding of the context and meets the full demands of the chosen question. It is well-organised and effectively communicated. There is a range of clear and specific supporting information, showing a good understanding of key features and issues, together with some conceptual awareness. The response is predominantly analytical in style with a range of direct comment relating to the question. The response is well-balanced with some judgement, which may, however, be only partially substantiated.</w:t>
      </w:r>
    </w:p>
    <w:p w14:paraId="3EE86673" w14:textId="77777777" w:rsidR="00E3632E" w:rsidRDefault="00E3632E" w:rsidP="00E3632E">
      <w:pPr>
        <w:shd w:val="clear" w:color="auto" w:fill="FFFFFF"/>
        <w:spacing w:after="0" w:line="360" w:lineRule="atLeast"/>
        <w:textAlignment w:val="baseline"/>
        <w:rPr>
          <w:rFonts w:eastAsia="Times New Roman" w:cstheme="minorHAnsi"/>
          <w:color w:val="4C4C4B"/>
        </w:rPr>
      </w:pPr>
    </w:p>
    <w:p w14:paraId="74AF124E" w14:textId="77777777" w:rsidR="00E3632E" w:rsidRDefault="00E3632E" w:rsidP="00E3632E">
      <w:pPr>
        <w:shd w:val="clear" w:color="auto" w:fill="FFFFFF"/>
        <w:spacing w:after="0" w:line="360" w:lineRule="atLeast"/>
        <w:textAlignment w:val="baseline"/>
        <w:rPr>
          <w:rFonts w:eastAsia="Times New Roman" w:cstheme="minorHAnsi"/>
          <w:color w:val="4C4C4B"/>
        </w:rPr>
      </w:pPr>
      <w:r>
        <w:rPr>
          <w:rFonts w:eastAsia="Times New Roman" w:cstheme="minorHAnsi"/>
          <w:b/>
          <w:bCs/>
          <w:color w:val="4C4C4B"/>
          <w:bdr w:val="none" w:sz="0" w:space="0" w:color="auto" w:frame="1"/>
        </w:rPr>
        <w:t>Level 3: 9–12</w:t>
      </w:r>
      <w:r>
        <w:rPr>
          <w:rFonts w:eastAsia="Times New Roman" w:cstheme="minorHAnsi"/>
          <w:color w:val="4C4C4B"/>
        </w:rPr>
        <w:t> The response demonstrates an understanding of the context and shows an understanding of the chosen question. It provides a range of largely accurate information which shows an awareness of some of the key issues. This information may, however, be unspecific or lack precision of detail in parts. The response is effectively organised and shows adequate communication skills. There is a good deal of comment in relation to the chosen question, although some of this may be generalised. The response demonstrates some analytical qualities and balance of argument.</w:t>
      </w:r>
    </w:p>
    <w:p w14:paraId="7B5E33F1" w14:textId="77777777" w:rsidR="00E3632E" w:rsidRDefault="00E3632E" w:rsidP="00E3632E">
      <w:pPr>
        <w:shd w:val="clear" w:color="auto" w:fill="FFFFFF"/>
        <w:spacing w:after="0" w:line="360" w:lineRule="atLeast"/>
        <w:textAlignment w:val="baseline"/>
        <w:rPr>
          <w:rFonts w:eastAsia="Times New Roman" w:cstheme="minorHAnsi"/>
          <w:color w:val="4C4C4B"/>
        </w:rPr>
      </w:pPr>
    </w:p>
    <w:p w14:paraId="67FB9D42" w14:textId="77777777" w:rsidR="00E3632E" w:rsidRDefault="00E3632E" w:rsidP="00E3632E">
      <w:pPr>
        <w:shd w:val="clear" w:color="auto" w:fill="FFFFFF"/>
        <w:spacing w:after="0" w:line="360" w:lineRule="atLeast"/>
        <w:textAlignment w:val="baseline"/>
        <w:rPr>
          <w:rFonts w:eastAsia="Times New Roman" w:cstheme="minorHAnsi"/>
          <w:color w:val="4C4C4B"/>
        </w:rPr>
      </w:pPr>
      <w:r>
        <w:rPr>
          <w:rFonts w:eastAsia="Times New Roman" w:cstheme="minorHAnsi"/>
          <w:b/>
          <w:bCs/>
          <w:color w:val="4C4C4B"/>
          <w:bdr w:val="none" w:sz="0" w:space="0" w:color="auto" w:frame="1"/>
        </w:rPr>
        <w:t>Level 2: 5–8</w:t>
      </w:r>
      <w:r>
        <w:rPr>
          <w:rFonts w:eastAsia="Times New Roman" w:cstheme="minorHAnsi"/>
          <w:color w:val="4C4C4B"/>
        </w:rPr>
        <w:t> The response demonstrates some understanding of the context but may have limitations in its coverage. The response may be either descriptive or partial, showing some awareness of the chosen question but a failure to grasp its full demands. There is some attempt to convey material in an organised way although communication skills may be limited. The response contains some appropriate information and shows an understanding of some aspects of the investigation, but there may be some inaccuracy and irrelevance. There is some comment in relation to the question but comments may be unsupported and generalised.</w:t>
      </w:r>
    </w:p>
    <w:p w14:paraId="3ACCDECB" w14:textId="77777777" w:rsidR="00E3632E" w:rsidRDefault="00E3632E" w:rsidP="00E3632E">
      <w:pPr>
        <w:shd w:val="clear" w:color="auto" w:fill="FFFFFF"/>
        <w:spacing w:after="0" w:line="360" w:lineRule="atLeast"/>
        <w:textAlignment w:val="baseline"/>
        <w:rPr>
          <w:rFonts w:eastAsia="Times New Roman" w:cstheme="minorHAnsi"/>
          <w:color w:val="4C4C4B"/>
        </w:rPr>
      </w:pPr>
      <w:r>
        <w:rPr>
          <w:rFonts w:eastAsia="Times New Roman" w:cstheme="minorHAnsi"/>
          <w:b/>
          <w:bCs/>
          <w:color w:val="4C4C4B"/>
          <w:bdr w:val="none" w:sz="0" w:space="0" w:color="auto" w:frame="1"/>
        </w:rPr>
        <w:t>Level 1: 1–4</w:t>
      </w:r>
      <w:r>
        <w:rPr>
          <w:rFonts w:eastAsia="Times New Roman" w:cstheme="minorHAnsi"/>
          <w:color w:val="4C4C4B"/>
        </w:rPr>
        <w:t> The response demonstrates limited understanding of the context. The chosen question has been imperfectly understood and the response shows limited organisational and communication skills. The information conveyed is extremely limited in scope and parts may be irrelevant. There may be some unsupported, vague or generalised comment.</w:t>
      </w:r>
    </w:p>
    <w:p w14:paraId="608BE836" w14:textId="77777777" w:rsidR="00E3632E" w:rsidRDefault="00E3632E" w:rsidP="00E3632E">
      <w:pPr>
        <w:shd w:val="clear" w:color="auto" w:fill="FFFFFF"/>
        <w:spacing w:after="0" w:line="360" w:lineRule="atLeast"/>
        <w:textAlignment w:val="baseline"/>
        <w:rPr>
          <w:rFonts w:eastAsia="Times New Roman" w:cstheme="minorHAnsi"/>
          <w:color w:val="4C4C4B"/>
        </w:rPr>
      </w:pPr>
    </w:p>
    <w:p w14:paraId="725850FB" w14:textId="77777777" w:rsidR="00E3632E" w:rsidRDefault="00E3632E" w:rsidP="00E3632E">
      <w:pPr>
        <w:shd w:val="clear" w:color="auto" w:fill="FFFFFF"/>
        <w:spacing w:after="0" w:line="360" w:lineRule="atLeast"/>
        <w:textAlignment w:val="baseline"/>
        <w:rPr>
          <w:rFonts w:eastAsia="Times New Roman" w:cstheme="minorHAnsi"/>
          <w:color w:val="4C4C4B"/>
          <w:sz w:val="36"/>
          <w:szCs w:val="36"/>
        </w:rPr>
      </w:pPr>
      <w:r>
        <w:rPr>
          <w:rFonts w:eastAsia="Times New Roman" w:cstheme="minorHAnsi"/>
          <w:b/>
          <w:bCs/>
          <w:color w:val="4C4C4B"/>
          <w:sz w:val="36"/>
          <w:szCs w:val="36"/>
          <w:bdr w:val="none" w:sz="0" w:space="0" w:color="auto" w:frame="1"/>
        </w:rPr>
        <w:t>AO2: 10 marks (sources)</w:t>
      </w:r>
    </w:p>
    <w:p w14:paraId="4127A691" w14:textId="77777777" w:rsidR="00E3632E" w:rsidRDefault="00E3632E" w:rsidP="00E3632E">
      <w:pPr>
        <w:shd w:val="clear" w:color="auto" w:fill="FFFFFF"/>
        <w:spacing w:after="240" w:line="360" w:lineRule="atLeast"/>
        <w:textAlignment w:val="baseline"/>
        <w:rPr>
          <w:rFonts w:eastAsia="Times New Roman" w:cstheme="minorHAnsi"/>
          <w:color w:val="4C4C4B"/>
        </w:rPr>
      </w:pPr>
      <w:r>
        <w:rPr>
          <w:rFonts w:eastAsia="Times New Roman" w:cstheme="minorHAnsi"/>
          <w:color w:val="4C4C4B"/>
        </w:rPr>
        <w:t>Analyse and evaluate appropriate source material, primary and/or contemporary to the period, within the historical context.</w:t>
      </w:r>
    </w:p>
    <w:p w14:paraId="292DEC68" w14:textId="77777777" w:rsidR="00E3632E" w:rsidRDefault="00E3632E" w:rsidP="00E3632E">
      <w:pPr>
        <w:shd w:val="clear" w:color="auto" w:fill="FFFFFF"/>
        <w:spacing w:after="0" w:line="360" w:lineRule="atLeast"/>
        <w:textAlignment w:val="baseline"/>
        <w:rPr>
          <w:rFonts w:eastAsia="Times New Roman" w:cstheme="minorHAnsi"/>
          <w:color w:val="4C4C4B"/>
        </w:rPr>
      </w:pPr>
      <w:r>
        <w:rPr>
          <w:rFonts w:eastAsia="Times New Roman" w:cstheme="minorHAnsi"/>
          <w:b/>
          <w:bCs/>
          <w:color w:val="4C4C4B"/>
          <w:bdr w:val="none" w:sz="0" w:space="0" w:color="auto" w:frame="1"/>
        </w:rPr>
        <w:t>Level 5: 9–10</w:t>
      </w:r>
      <w:r>
        <w:rPr>
          <w:rFonts w:eastAsia="Times New Roman" w:cstheme="minorHAnsi"/>
          <w:color w:val="4C4C4B"/>
        </w:rPr>
        <w:t> Provides a range of relevant and well-supported comments on the value of two sources used in the investigation to provide a balanced and convincing judgement on their merits in relation to the topic under investigation.</w:t>
      </w:r>
    </w:p>
    <w:p w14:paraId="61D3228D" w14:textId="77777777" w:rsidR="00E3632E" w:rsidRDefault="00E3632E" w:rsidP="00E3632E">
      <w:pPr>
        <w:shd w:val="clear" w:color="auto" w:fill="FFFFFF"/>
        <w:spacing w:after="0" w:line="360" w:lineRule="atLeast"/>
        <w:textAlignment w:val="baseline"/>
        <w:rPr>
          <w:rFonts w:eastAsia="Times New Roman" w:cstheme="minorHAnsi"/>
          <w:color w:val="4C4C4B"/>
        </w:rPr>
      </w:pPr>
    </w:p>
    <w:p w14:paraId="7BE17414" w14:textId="77777777" w:rsidR="00E3632E" w:rsidRDefault="00E3632E" w:rsidP="00E3632E">
      <w:pPr>
        <w:shd w:val="clear" w:color="auto" w:fill="FFFFFF"/>
        <w:spacing w:after="0" w:line="360" w:lineRule="atLeast"/>
        <w:textAlignment w:val="baseline"/>
        <w:rPr>
          <w:rFonts w:eastAsia="Times New Roman" w:cstheme="minorHAnsi"/>
          <w:color w:val="4C4C4B"/>
        </w:rPr>
      </w:pPr>
      <w:r>
        <w:rPr>
          <w:rFonts w:eastAsia="Times New Roman" w:cstheme="minorHAnsi"/>
          <w:b/>
          <w:bCs/>
          <w:color w:val="4C4C4B"/>
          <w:bdr w:val="none" w:sz="0" w:space="0" w:color="auto" w:frame="1"/>
        </w:rPr>
        <w:t>Level 4: 7–8</w:t>
      </w:r>
      <w:r>
        <w:rPr>
          <w:rFonts w:eastAsia="Times New Roman" w:cstheme="minorHAnsi"/>
          <w:color w:val="4C4C4B"/>
        </w:rPr>
        <w:t> Provides relevant and well-supported comments on the value of two sources of two or more different types used in the investigation, to produce a balanced assessment on their merits in relation to the topic under investigation. Judgements may, however, be partial or limited in substantiation.</w:t>
      </w:r>
    </w:p>
    <w:p w14:paraId="132F22F2" w14:textId="77777777" w:rsidR="00E3632E" w:rsidRDefault="00E3632E" w:rsidP="00E3632E">
      <w:pPr>
        <w:shd w:val="clear" w:color="auto" w:fill="FFFFFF"/>
        <w:spacing w:after="0" w:line="360" w:lineRule="atLeast"/>
        <w:textAlignment w:val="baseline"/>
        <w:rPr>
          <w:rFonts w:eastAsia="Times New Roman" w:cstheme="minorHAnsi"/>
          <w:color w:val="4C4C4B"/>
        </w:rPr>
      </w:pPr>
    </w:p>
    <w:p w14:paraId="125C652D" w14:textId="77777777" w:rsidR="00E3632E" w:rsidRDefault="00E3632E" w:rsidP="00E3632E">
      <w:pPr>
        <w:shd w:val="clear" w:color="auto" w:fill="FFFFFF"/>
        <w:spacing w:after="0" w:line="360" w:lineRule="atLeast"/>
        <w:textAlignment w:val="baseline"/>
        <w:rPr>
          <w:rFonts w:eastAsia="Times New Roman" w:cstheme="minorHAnsi"/>
          <w:color w:val="4C4C4B"/>
        </w:rPr>
      </w:pPr>
      <w:r>
        <w:rPr>
          <w:rFonts w:eastAsia="Times New Roman" w:cstheme="minorHAnsi"/>
          <w:b/>
          <w:bCs/>
          <w:color w:val="4C4C4B"/>
          <w:bdr w:val="none" w:sz="0" w:space="0" w:color="auto" w:frame="1"/>
        </w:rPr>
        <w:t>Level 3: 5–6</w:t>
      </w:r>
      <w:r>
        <w:rPr>
          <w:rFonts w:eastAsia="Times New Roman" w:cstheme="minorHAnsi"/>
          <w:color w:val="4C4C4B"/>
        </w:rPr>
        <w:t> Provides some relevant comment on the value of two sources of at least two different types used in the Investigation. Some of the commentary is, however, of limited scope, not fully convincing or has only limited direction to the topic under investigation.</w:t>
      </w:r>
    </w:p>
    <w:p w14:paraId="7DA218DB" w14:textId="77777777" w:rsidR="00E3632E" w:rsidRDefault="00E3632E" w:rsidP="00E3632E">
      <w:pPr>
        <w:shd w:val="clear" w:color="auto" w:fill="FFFFFF"/>
        <w:spacing w:after="0" w:line="360" w:lineRule="atLeast"/>
        <w:textAlignment w:val="baseline"/>
        <w:rPr>
          <w:rFonts w:eastAsia="Times New Roman" w:cstheme="minorHAnsi"/>
          <w:color w:val="4C4C4B"/>
        </w:rPr>
      </w:pPr>
    </w:p>
    <w:p w14:paraId="4EA07B86" w14:textId="77777777" w:rsidR="00E3632E" w:rsidRDefault="00E3632E" w:rsidP="00E3632E">
      <w:pPr>
        <w:shd w:val="clear" w:color="auto" w:fill="FFFFFF"/>
        <w:spacing w:after="0" w:line="360" w:lineRule="atLeast"/>
        <w:textAlignment w:val="baseline"/>
        <w:rPr>
          <w:rFonts w:eastAsia="Times New Roman" w:cstheme="minorHAnsi"/>
          <w:color w:val="4C4C4B"/>
        </w:rPr>
      </w:pPr>
      <w:r>
        <w:rPr>
          <w:rFonts w:eastAsia="Times New Roman" w:cstheme="minorHAnsi"/>
          <w:b/>
          <w:bCs/>
          <w:color w:val="4C4C4B"/>
          <w:bdr w:val="none" w:sz="0" w:space="0" w:color="auto" w:frame="1"/>
        </w:rPr>
        <w:t>Level 2: 3–4</w:t>
      </w:r>
      <w:r>
        <w:rPr>
          <w:rFonts w:eastAsia="Times New Roman" w:cstheme="minorHAnsi"/>
          <w:color w:val="4C4C4B"/>
        </w:rPr>
        <w:t> Either: provides some comment on the value of more than one source used in the investigation but may not address three sources in equal measure or refers to sources of the same 'type'. Or: provides some comment on the value of three sources of at least two types used in the investigation but the comment is excessively generalised and not well directed to the topic of the investigation.</w:t>
      </w:r>
    </w:p>
    <w:p w14:paraId="7DAFA828" w14:textId="77777777" w:rsidR="00E3632E" w:rsidRDefault="00E3632E" w:rsidP="00E3632E">
      <w:pPr>
        <w:shd w:val="clear" w:color="auto" w:fill="FFFFFF"/>
        <w:spacing w:after="0" w:line="360" w:lineRule="atLeast"/>
        <w:textAlignment w:val="baseline"/>
        <w:rPr>
          <w:rFonts w:eastAsia="Times New Roman" w:cstheme="minorHAnsi"/>
          <w:color w:val="4C4C4B"/>
        </w:rPr>
      </w:pPr>
    </w:p>
    <w:p w14:paraId="56D2F69F" w14:textId="77777777" w:rsidR="00E3632E" w:rsidRDefault="00E3632E" w:rsidP="00E3632E">
      <w:pPr>
        <w:shd w:val="clear" w:color="auto" w:fill="FFFFFF"/>
        <w:spacing w:after="0" w:line="360" w:lineRule="atLeast"/>
        <w:textAlignment w:val="baseline"/>
        <w:rPr>
          <w:rFonts w:eastAsia="Times New Roman" w:cstheme="minorHAnsi"/>
          <w:color w:val="4C4C4B"/>
        </w:rPr>
      </w:pPr>
      <w:r>
        <w:rPr>
          <w:rFonts w:eastAsia="Times New Roman" w:cstheme="minorHAnsi"/>
          <w:b/>
          <w:bCs/>
          <w:color w:val="4C4C4B"/>
          <w:bdr w:val="none" w:sz="0" w:space="0" w:color="auto" w:frame="1"/>
        </w:rPr>
        <w:t>Level 1: 1–2</w:t>
      </w:r>
      <w:r>
        <w:rPr>
          <w:rFonts w:eastAsia="Times New Roman" w:cstheme="minorHAnsi"/>
          <w:color w:val="4C4C4B"/>
        </w:rPr>
        <w:t> Provides some comment on the value of at least one source used in the Investigation but the response is very limited and may be partially inaccurate. Comments are likely to be unsupported, vague or generalised.</w:t>
      </w:r>
    </w:p>
    <w:p w14:paraId="764C27C5" w14:textId="77777777" w:rsidR="00E3632E" w:rsidRDefault="00E3632E" w:rsidP="00E3632E">
      <w:pPr>
        <w:shd w:val="clear" w:color="auto" w:fill="FFFFFF"/>
        <w:spacing w:after="240" w:line="360" w:lineRule="atLeast"/>
        <w:textAlignment w:val="baseline"/>
        <w:rPr>
          <w:rFonts w:eastAsia="Times New Roman" w:cstheme="minorHAnsi"/>
          <w:color w:val="4C4C4B"/>
        </w:rPr>
      </w:pPr>
      <w:r>
        <w:rPr>
          <w:rFonts w:eastAsia="Times New Roman" w:cstheme="minorHAnsi"/>
          <w:color w:val="4C4C4B"/>
        </w:rPr>
        <w:t>In commenting and making judgements on the value of the sources, students will be expected to apply their own contextual knowledge and perspectives of time and place in order to assess the value and limitations of their sources as evidence. They will be expected to comment on, as appropriate to the investigation and chosen sources:</w:t>
      </w:r>
    </w:p>
    <w:p w14:paraId="629EB3FD" w14:textId="77777777" w:rsidR="00E3632E" w:rsidRDefault="00E3632E" w:rsidP="00E3632E">
      <w:pPr>
        <w:numPr>
          <w:ilvl w:val="0"/>
          <w:numId w:val="2"/>
        </w:numPr>
        <w:spacing w:after="30" w:line="360" w:lineRule="atLeast"/>
        <w:ind w:left="0"/>
        <w:textAlignment w:val="baseline"/>
        <w:rPr>
          <w:rFonts w:eastAsia="Times New Roman" w:cstheme="minorHAnsi"/>
          <w:color w:val="4C4C4B"/>
        </w:rPr>
      </w:pPr>
      <w:r>
        <w:rPr>
          <w:rFonts w:eastAsia="Times New Roman" w:cstheme="minorHAnsi"/>
          <w:color w:val="4C4C4B"/>
        </w:rPr>
        <w:t>the differing perspectives of the sources chosen</w:t>
      </w:r>
    </w:p>
    <w:p w14:paraId="7D6BE1D3" w14:textId="77777777" w:rsidR="00E3632E" w:rsidRDefault="00E3632E" w:rsidP="00E3632E">
      <w:pPr>
        <w:numPr>
          <w:ilvl w:val="0"/>
          <w:numId w:val="2"/>
        </w:numPr>
        <w:spacing w:after="30" w:line="360" w:lineRule="atLeast"/>
        <w:ind w:left="0"/>
        <w:textAlignment w:val="baseline"/>
        <w:rPr>
          <w:rFonts w:eastAsia="Times New Roman" w:cstheme="minorHAnsi"/>
          <w:color w:val="4C4C4B"/>
        </w:rPr>
      </w:pPr>
      <w:r>
        <w:rPr>
          <w:rFonts w:eastAsia="Times New Roman" w:cstheme="minorHAnsi"/>
          <w:color w:val="4C4C4B"/>
        </w:rPr>
        <w:t>the social, political, intellectual, religious and/or economic contexts in which the sources were written</w:t>
      </w:r>
    </w:p>
    <w:p w14:paraId="2EC35197" w14:textId="77777777" w:rsidR="00E3632E" w:rsidRDefault="00E3632E" w:rsidP="00E3632E">
      <w:pPr>
        <w:numPr>
          <w:ilvl w:val="0"/>
          <w:numId w:val="2"/>
        </w:numPr>
        <w:spacing w:after="30" w:line="360" w:lineRule="atLeast"/>
        <w:ind w:left="0"/>
        <w:textAlignment w:val="baseline"/>
        <w:rPr>
          <w:rFonts w:eastAsia="Times New Roman" w:cstheme="minorHAnsi"/>
          <w:color w:val="4C4C4B"/>
        </w:rPr>
      </w:pPr>
      <w:r>
        <w:rPr>
          <w:rFonts w:eastAsia="Times New Roman" w:cstheme="minorHAnsi"/>
          <w:color w:val="4C4C4B"/>
        </w:rPr>
        <w:t>the credibility, authority, authenticity, consistency and comprehensiveness of the sources</w:t>
      </w:r>
    </w:p>
    <w:p w14:paraId="161DE41A" w14:textId="77777777" w:rsidR="00E3632E" w:rsidRDefault="00E3632E" w:rsidP="00E3632E">
      <w:pPr>
        <w:numPr>
          <w:ilvl w:val="0"/>
          <w:numId w:val="2"/>
        </w:numPr>
        <w:spacing w:after="30" w:line="360" w:lineRule="atLeast"/>
        <w:ind w:left="0"/>
        <w:textAlignment w:val="baseline"/>
        <w:rPr>
          <w:rFonts w:eastAsia="Times New Roman" w:cstheme="minorHAnsi"/>
          <w:color w:val="4C4C4B"/>
        </w:rPr>
      </w:pPr>
      <w:r>
        <w:rPr>
          <w:rFonts w:eastAsia="Times New Roman" w:cstheme="minorHAnsi"/>
          <w:color w:val="4C4C4B"/>
        </w:rPr>
        <w:t>the bias, distortion or propagandist elements found in the sources</w:t>
      </w:r>
    </w:p>
    <w:p w14:paraId="13C46F8C" w14:textId="77777777" w:rsidR="00E3632E" w:rsidRDefault="00E3632E" w:rsidP="00E3632E">
      <w:pPr>
        <w:spacing w:after="30" w:line="360" w:lineRule="atLeast"/>
        <w:textAlignment w:val="baseline"/>
        <w:rPr>
          <w:rFonts w:eastAsia="Times New Roman" w:cstheme="minorHAnsi"/>
          <w:color w:val="4C4C4B"/>
        </w:rPr>
      </w:pPr>
    </w:p>
    <w:p w14:paraId="71F806E1" w14:textId="77777777" w:rsidR="00E3632E" w:rsidRDefault="00E3632E" w:rsidP="00E3632E">
      <w:pPr>
        <w:shd w:val="clear" w:color="auto" w:fill="FFFFFF"/>
        <w:spacing w:after="0" w:line="360" w:lineRule="atLeast"/>
        <w:textAlignment w:val="baseline"/>
        <w:rPr>
          <w:rFonts w:eastAsia="Times New Roman" w:cstheme="minorHAnsi"/>
          <w:color w:val="4C4C4B"/>
          <w:sz w:val="36"/>
          <w:szCs w:val="36"/>
        </w:rPr>
      </w:pPr>
      <w:r>
        <w:rPr>
          <w:rFonts w:eastAsia="Times New Roman" w:cstheme="minorHAnsi"/>
          <w:b/>
          <w:bCs/>
          <w:color w:val="4C4C4B"/>
          <w:sz w:val="36"/>
          <w:szCs w:val="36"/>
          <w:bdr w:val="none" w:sz="0" w:space="0" w:color="auto" w:frame="1"/>
        </w:rPr>
        <w:t>AO3: 10 marks (interpretations)</w:t>
      </w:r>
    </w:p>
    <w:p w14:paraId="532CC858" w14:textId="77777777" w:rsidR="00E3632E" w:rsidRDefault="00E3632E" w:rsidP="00E3632E">
      <w:pPr>
        <w:shd w:val="clear" w:color="auto" w:fill="FFFFFF"/>
        <w:spacing w:after="240" w:line="360" w:lineRule="atLeast"/>
        <w:textAlignment w:val="baseline"/>
        <w:rPr>
          <w:rFonts w:eastAsia="Times New Roman" w:cstheme="minorHAnsi"/>
          <w:color w:val="4C4C4B"/>
        </w:rPr>
      </w:pPr>
      <w:r>
        <w:rPr>
          <w:rFonts w:eastAsia="Times New Roman" w:cstheme="minorHAnsi"/>
          <w:color w:val="4C4C4B"/>
        </w:rPr>
        <w:t>Analyse and evaluate, in relation to the historical context, different ways in which aspects of the past have been interpreted.</w:t>
      </w:r>
    </w:p>
    <w:p w14:paraId="780EB34E" w14:textId="77777777" w:rsidR="00E3632E" w:rsidRDefault="00E3632E" w:rsidP="00E3632E">
      <w:pPr>
        <w:shd w:val="clear" w:color="auto" w:fill="FFFFFF"/>
        <w:spacing w:after="0" w:line="360" w:lineRule="atLeast"/>
        <w:textAlignment w:val="baseline"/>
        <w:rPr>
          <w:rFonts w:eastAsia="Times New Roman" w:cstheme="minorHAnsi"/>
          <w:color w:val="4C4C4B"/>
          <w:bdr w:val="none" w:sz="0" w:space="0" w:color="auto" w:frame="1"/>
        </w:rPr>
      </w:pPr>
      <w:r>
        <w:rPr>
          <w:rFonts w:eastAsia="Times New Roman" w:cstheme="minorHAnsi"/>
          <w:b/>
          <w:bCs/>
          <w:color w:val="4C4C4B"/>
          <w:bdr w:val="none" w:sz="0" w:space="0" w:color="auto" w:frame="1"/>
        </w:rPr>
        <w:t>Level 5: 9–10</w:t>
      </w:r>
      <w:r>
        <w:rPr>
          <w:rFonts w:eastAsia="Times New Roman" w:cstheme="minorHAnsi"/>
          <w:color w:val="4C4C4B"/>
        </w:rPr>
        <w:t> </w:t>
      </w:r>
      <w:r>
        <w:rPr>
          <w:rFonts w:eastAsia="Times New Roman" w:cstheme="minorHAnsi"/>
          <w:color w:val="4C4C4B"/>
          <w:bdr w:val="none" w:sz="0" w:space="0" w:color="auto" w:frame="1"/>
        </w:rPr>
        <w:t>Shows a very good understanding of the differing historical interpretations raised by the question. There is a strong, well-substantiated and convincing evaluation of two interpretations with reference to the time, context and/or limitations placed on the historians.</w:t>
      </w:r>
    </w:p>
    <w:p w14:paraId="6701A148" w14:textId="77777777" w:rsidR="00E3632E" w:rsidRDefault="00E3632E" w:rsidP="00E3632E">
      <w:pPr>
        <w:shd w:val="clear" w:color="auto" w:fill="FFFFFF"/>
        <w:spacing w:after="0" w:line="360" w:lineRule="atLeast"/>
        <w:textAlignment w:val="baseline"/>
        <w:rPr>
          <w:rFonts w:eastAsia="Times New Roman" w:cstheme="minorHAnsi"/>
          <w:color w:val="4C4C4B"/>
        </w:rPr>
      </w:pPr>
    </w:p>
    <w:p w14:paraId="4495415D" w14:textId="77777777" w:rsidR="00E3632E" w:rsidRDefault="00E3632E" w:rsidP="00E3632E">
      <w:pPr>
        <w:shd w:val="clear" w:color="auto" w:fill="FFFFFF"/>
        <w:spacing w:after="0" w:line="360" w:lineRule="atLeast"/>
        <w:textAlignment w:val="baseline"/>
        <w:rPr>
          <w:rFonts w:eastAsia="Times New Roman" w:cstheme="minorHAnsi"/>
          <w:color w:val="4C4C4B"/>
          <w:bdr w:val="none" w:sz="0" w:space="0" w:color="auto" w:frame="1"/>
        </w:rPr>
      </w:pPr>
      <w:r>
        <w:rPr>
          <w:rFonts w:eastAsia="Times New Roman" w:cstheme="minorHAnsi"/>
          <w:b/>
          <w:bCs/>
          <w:color w:val="4C4C4B"/>
          <w:bdr w:val="none" w:sz="0" w:space="0" w:color="auto" w:frame="1"/>
        </w:rPr>
        <w:t>Level 4: 7–8</w:t>
      </w:r>
      <w:r>
        <w:rPr>
          <w:rFonts w:eastAsia="Times New Roman" w:cstheme="minorHAnsi"/>
          <w:color w:val="4C4C4B"/>
        </w:rPr>
        <w:t> </w:t>
      </w:r>
      <w:r>
        <w:rPr>
          <w:rFonts w:eastAsia="Times New Roman" w:cstheme="minorHAnsi"/>
          <w:color w:val="4C4C4B"/>
          <w:bdr w:val="none" w:sz="0" w:space="0" w:color="auto" w:frame="1"/>
        </w:rPr>
        <w:t>Shows a good understanding of the differing historical interpretations raised by the question. There is some good evaluation of the two interpretations with reference to the time, context and/or limitations placed on historians, although not all comments are substantiated or convincing.</w:t>
      </w:r>
    </w:p>
    <w:p w14:paraId="2CF97071" w14:textId="77777777" w:rsidR="00E3632E" w:rsidRDefault="00E3632E" w:rsidP="00E3632E">
      <w:pPr>
        <w:shd w:val="clear" w:color="auto" w:fill="FFFFFF"/>
        <w:spacing w:after="0" w:line="360" w:lineRule="atLeast"/>
        <w:textAlignment w:val="baseline"/>
        <w:rPr>
          <w:rFonts w:eastAsia="Times New Roman" w:cstheme="minorHAnsi"/>
          <w:color w:val="4C4C4B"/>
        </w:rPr>
      </w:pPr>
    </w:p>
    <w:p w14:paraId="785B68DA" w14:textId="77777777" w:rsidR="00E3632E" w:rsidRDefault="00E3632E" w:rsidP="00E3632E">
      <w:pPr>
        <w:shd w:val="clear" w:color="auto" w:fill="FFFFFF"/>
        <w:spacing w:after="0" w:line="360" w:lineRule="atLeast"/>
        <w:textAlignment w:val="baseline"/>
        <w:rPr>
          <w:rFonts w:eastAsia="Times New Roman" w:cstheme="minorHAnsi"/>
          <w:color w:val="4C4C4B"/>
          <w:bdr w:val="none" w:sz="0" w:space="0" w:color="auto" w:frame="1"/>
        </w:rPr>
      </w:pPr>
      <w:r>
        <w:rPr>
          <w:rFonts w:eastAsia="Times New Roman" w:cstheme="minorHAnsi"/>
          <w:b/>
          <w:bCs/>
          <w:color w:val="4C4C4B"/>
          <w:bdr w:val="none" w:sz="0" w:space="0" w:color="auto" w:frame="1"/>
        </w:rPr>
        <w:t>Level 3: 5–6</w:t>
      </w:r>
      <w:r>
        <w:rPr>
          <w:rFonts w:eastAsia="Times New Roman" w:cstheme="minorHAnsi"/>
          <w:color w:val="4C4C4B"/>
        </w:rPr>
        <w:t> </w:t>
      </w:r>
      <w:r>
        <w:rPr>
          <w:rFonts w:eastAsia="Times New Roman" w:cstheme="minorHAnsi"/>
          <w:color w:val="4C4C4B"/>
          <w:bdr w:val="none" w:sz="0" w:space="0" w:color="auto" w:frame="1"/>
        </w:rPr>
        <w:t>Shows an understanding of differing historical interpretations raised by the question. There is some supported comment on two interpretations with reference to the time, context and/or limitations placed on historians, but the comments are limited in depth and/or substantiation.</w:t>
      </w:r>
    </w:p>
    <w:p w14:paraId="65D2702C" w14:textId="77777777" w:rsidR="00E3632E" w:rsidRDefault="00E3632E" w:rsidP="00E3632E">
      <w:pPr>
        <w:shd w:val="clear" w:color="auto" w:fill="FFFFFF"/>
        <w:spacing w:after="0" w:line="360" w:lineRule="atLeast"/>
        <w:textAlignment w:val="baseline"/>
        <w:rPr>
          <w:rFonts w:eastAsia="Times New Roman" w:cstheme="minorHAnsi"/>
          <w:color w:val="4C4C4B"/>
        </w:rPr>
      </w:pPr>
    </w:p>
    <w:p w14:paraId="55264749" w14:textId="77777777" w:rsidR="00E3632E" w:rsidRDefault="00E3632E" w:rsidP="00E3632E">
      <w:pPr>
        <w:shd w:val="clear" w:color="auto" w:fill="FFFFFF"/>
        <w:spacing w:after="0" w:line="360" w:lineRule="atLeast"/>
        <w:textAlignment w:val="baseline"/>
        <w:rPr>
          <w:rFonts w:eastAsia="Times New Roman" w:cstheme="minorHAnsi"/>
          <w:color w:val="4C4C4B"/>
          <w:bdr w:val="none" w:sz="0" w:space="0" w:color="auto" w:frame="1"/>
        </w:rPr>
      </w:pPr>
      <w:r>
        <w:rPr>
          <w:rFonts w:eastAsia="Times New Roman" w:cstheme="minorHAnsi"/>
          <w:b/>
          <w:bCs/>
          <w:color w:val="4C4C4B"/>
          <w:bdr w:val="none" w:sz="0" w:space="0" w:color="auto" w:frame="1"/>
        </w:rPr>
        <w:t>Level 2: 3–4</w:t>
      </w:r>
      <w:r>
        <w:rPr>
          <w:rFonts w:eastAsia="Times New Roman" w:cstheme="minorHAnsi"/>
          <w:color w:val="4C4C4B"/>
        </w:rPr>
        <w:t> </w:t>
      </w:r>
      <w:r>
        <w:rPr>
          <w:rFonts w:eastAsia="Times New Roman" w:cstheme="minorHAnsi"/>
          <w:color w:val="4C4C4B"/>
          <w:bdr w:val="none" w:sz="0" w:space="0" w:color="auto" w:frame="1"/>
        </w:rPr>
        <w:t>Shows some understanding of the differing historical interpretations raised by the question. They may refer to the time, context and/or limitations placed on the historians in an unconvincing way.</w:t>
      </w:r>
    </w:p>
    <w:p w14:paraId="3889ACA9" w14:textId="77777777" w:rsidR="00E3632E" w:rsidRDefault="00E3632E" w:rsidP="00E3632E">
      <w:pPr>
        <w:shd w:val="clear" w:color="auto" w:fill="FFFFFF"/>
        <w:spacing w:after="0" w:line="360" w:lineRule="atLeast"/>
        <w:textAlignment w:val="baseline"/>
        <w:rPr>
          <w:rFonts w:eastAsia="Times New Roman" w:cstheme="minorHAnsi"/>
          <w:color w:val="4C4C4B"/>
        </w:rPr>
      </w:pPr>
    </w:p>
    <w:p w14:paraId="14B1B3E0" w14:textId="77777777" w:rsidR="00E3632E" w:rsidRDefault="00E3632E" w:rsidP="00E3632E">
      <w:pPr>
        <w:shd w:val="clear" w:color="auto" w:fill="FFFFFF"/>
        <w:spacing w:after="0" w:line="360" w:lineRule="atLeast"/>
        <w:textAlignment w:val="baseline"/>
        <w:rPr>
          <w:rFonts w:eastAsia="Times New Roman" w:cstheme="minorHAnsi"/>
          <w:color w:val="4C4C4B"/>
        </w:rPr>
      </w:pPr>
      <w:r>
        <w:rPr>
          <w:rFonts w:eastAsia="Times New Roman" w:cstheme="minorHAnsi"/>
          <w:b/>
          <w:bCs/>
          <w:color w:val="4C4C4B"/>
          <w:bdr w:val="none" w:sz="0" w:space="0" w:color="auto" w:frame="1"/>
        </w:rPr>
        <w:t>Level 1: 1–2</w:t>
      </w:r>
      <w:r>
        <w:rPr>
          <w:rFonts w:eastAsia="Times New Roman" w:cstheme="minorHAnsi"/>
          <w:color w:val="4C4C4B"/>
        </w:rPr>
        <w:t> </w:t>
      </w:r>
      <w:r>
        <w:rPr>
          <w:rFonts w:eastAsia="Times New Roman" w:cstheme="minorHAnsi"/>
          <w:color w:val="4C4C4B"/>
          <w:bdr w:val="none" w:sz="0" w:space="0" w:color="auto" w:frame="1"/>
        </w:rPr>
        <w:t>Shows limited understanding of the differing historical interpretations raised by the question. Comment on historical interpretations is generalised and vague.</w:t>
      </w:r>
    </w:p>
    <w:p w14:paraId="004E621C" w14:textId="77777777" w:rsidR="00E3632E" w:rsidRDefault="00E3632E" w:rsidP="00E3632E">
      <w:pPr>
        <w:shd w:val="clear" w:color="auto" w:fill="FFFFFF"/>
        <w:spacing w:after="240" w:line="360" w:lineRule="atLeast"/>
        <w:textAlignment w:val="baseline"/>
        <w:rPr>
          <w:rFonts w:eastAsia="Times New Roman" w:cstheme="minorHAnsi"/>
          <w:color w:val="4C4C4B"/>
        </w:rPr>
      </w:pPr>
      <w:r>
        <w:rPr>
          <w:rFonts w:eastAsia="Times New Roman" w:cstheme="minorHAnsi"/>
          <w:color w:val="4C4C4B"/>
        </w:rPr>
        <w:t>In showing an understanding of historical interpretations and evaluating historical interpretations, students will be expected to apply their own contextual knowledge.</w:t>
      </w:r>
    </w:p>
    <w:p w14:paraId="5A167575" w14:textId="77777777" w:rsidR="00E3632E" w:rsidRDefault="00E3632E" w:rsidP="00E3632E">
      <w:pPr>
        <w:shd w:val="clear" w:color="auto" w:fill="FFFFFF"/>
        <w:spacing w:after="240" w:line="360" w:lineRule="atLeast"/>
        <w:textAlignment w:val="baseline"/>
        <w:rPr>
          <w:rFonts w:eastAsia="Times New Roman" w:cstheme="minorHAnsi"/>
          <w:color w:val="4C4C4B"/>
        </w:rPr>
      </w:pPr>
      <w:r>
        <w:rPr>
          <w:rFonts w:eastAsia="Times New Roman" w:cstheme="minorHAnsi"/>
          <w:color w:val="4C4C4B"/>
        </w:rPr>
        <w:t>They will be expected, as appropriate to the investigation:</w:t>
      </w:r>
    </w:p>
    <w:p w14:paraId="2AA4E691" w14:textId="77777777" w:rsidR="00E3632E" w:rsidRDefault="00E3632E" w:rsidP="00E3632E">
      <w:pPr>
        <w:numPr>
          <w:ilvl w:val="0"/>
          <w:numId w:val="3"/>
        </w:numPr>
        <w:spacing w:after="30" w:line="360" w:lineRule="atLeast"/>
        <w:ind w:left="0"/>
        <w:textAlignment w:val="baseline"/>
        <w:rPr>
          <w:rFonts w:eastAsia="Times New Roman" w:cstheme="minorHAnsi"/>
          <w:color w:val="4C4C4B"/>
        </w:rPr>
      </w:pPr>
      <w:r>
        <w:rPr>
          <w:rFonts w:eastAsia="Times New Roman" w:cstheme="minorHAnsi"/>
          <w:color w:val="4C4C4B"/>
        </w:rPr>
        <w:t>to show an understanding of the limitations placed on historians</w:t>
      </w:r>
    </w:p>
    <w:p w14:paraId="132E2178" w14:textId="77777777" w:rsidR="00E3632E" w:rsidRDefault="00E3632E" w:rsidP="00E3632E">
      <w:pPr>
        <w:numPr>
          <w:ilvl w:val="0"/>
          <w:numId w:val="3"/>
        </w:numPr>
        <w:spacing w:after="30" w:line="360" w:lineRule="atLeast"/>
        <w:ind w:left="0"/>
        <w:textAlignment w:val="baseline"/>
        <w:rPr>
          <w:rFonts w:eastAsia="Times New Roman" w:cstheme="minorHAnsi"/>
          <w:color w:val="4C4C4B"/>
        </w:rPr>
      </w:pPr>
      <w:r>
        <w:rPr>
          <w:rFonts w:eastAsia="Times New Roman" w:cstheme="minorHAnsi"/>
          <w:color w:val="4C4C4B"/>
        </w:rPr>
        <w:t>to show an understanding of the significance of the time and/or context in which an historian writes</w:t>
      </w:r>
    </w:p>
    <w:p w14:paraId="6BC6B56F" w14:textId="77777777" w:rsidR="00E3632E" w:rsidRDefault="00E3632E" w:rsidP="00E3632E">
      <w:pPr>
        <w:numPr>
          <w:ilvl w:val="0"/>
          <w:numId w:val="3"/>
        </w:numPr>
        <w:spacing w:after="30" w:line="360" w:lineRule="atLeast"/>
        <w:ind w:left="0"/>
        <w:textAlignment w:val="baseline"/>
        <w:rPr>
          <w:rFonts w:eastAsia="Times New Roman" w:cstheme="minorHAnsi"/>
          <w:color w:val="4C4C4B"/>
        </w:rPr>
      </w:pPr>
      <w:r>
        <w:rPr>
          <w:rFonts w:eastAsia="Times New Roman" w:cstheme="minorHAnsi"/>
          <w:color w:val="4C4C4B"/>
        </w:rPr>
        <w:t>to compare and evaluate differing historical interpretations.</w:t>
      </w:r>
    </w:p>
    <w:p w14:paraId="412B500C" w14:textId="77777777" w:rsidR="00E3632E" w:rsidRDefault="00E3632E" w:rsidP="00E3632E">
      <w:pPr>
        <w:rPr>
          <w:rFonts w:cstheme="minorHAnsi"/>
        </w:rPr>
      </w:pPr>
    </w:p>
    <w:p w14:paraId="0E7CBE48" w14:textId="629C7C36" w:rsidR="00E3632E" w:rsidRPr="00500FD2" w:rsidRDefault="00E3632E">
      <w:pPr>
        <w:rPr>
          <w:b/>
          <w:sz w:val="24"/>
          <w:szCs w:val="24"/>
        </w:rPr>
      </w:pPr>
    </w:p>
    <w:sectPr w:rsidR="00E3632E" w:rsidRPr="00500F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1AE8"/>
    <w:multiLevelType w:val="multilevel"/>
    <w:tmpl w:val="D924B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57566"/>
    <w:multiLevelType w:val="multilevel"/>
    <w:tmpl w:val="3C54B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900B0"/>
    <w:multiLevelType w:val="hybridMultilevel"/>
    <w:tmpl w:val="3DA8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643"/>
    <w:rsid w:val="002818C2"/>
    <w:rsid w:val="004E7209"/>
    <w:rsid w:val="00500FD2"/>
    <w:rsid w:val="00603005"/>
    <w:rsid w:val="0066728B"/>
    <w:rsid w:val="006770F7"/>
    <w:rsid w:val="00793766"/>
    <w:rsid w:val="008831D7"/>
    <w:rsid w:val="00930643"/>
    <w:rsid w:val="00D57476"/>
    <w:rsid w:val="00E3632E"/>
    <w:rsid w:val="00F2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7DB7"/>
  <w15:docId w15:val="{1058150A-D011-4CC8-A7C2-9B56EFF5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643"/>
    <w:pPr>
      <w:ind w:left="720"/>
      <w:contextualSpacing/>
    </w:pPr>
  </w:style>
  <w:style w:type="paragraph" w:styleId="BalloonText">
    <w:name w:val="Balloon Text"/>
    <w:basedOn w:val="Normal"/>
    <w:link w:val="BalloonTextChar"/>
    <w:uiPriority w:val="99"/>
    <w:semiHidden/>
    <w:unhideWhenUsed/>
    <w:rsid w:val="0088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4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Carre's Grammar School</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Carre's Grammar School</dc:creator>
  <cp:lastModifiedBy>Harvey Edser</cp:lastModifiedBy>
  <cp:revision>3</cp:revision>
  <cp:lastPrinted>2020-02-07T14:12:00Z</cp:lastPrinted>
  <dcterms:created xsi:type="dcterms:W3CDTF">2020-03-31T09:21:00Z</dcterms:created>
  <dcterms:modified xsi:type="dcterms:W3CDTF">2020-04-02T08:21:00Z</dcterms:modified>
</cp:coreProperties>
</file>