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5EDFE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tbl>
      <w:tblPr>
        <w:tblW w:w="94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2030"/>
        <w:gridCol w:w="1419"/>
        <w:gridCol w:w="3156"/>
      </w:tblGrid>
      <w:tr w:rsidR="00E84B07" w:rsidRPr="00BA495F" w14:paraId="6494E0D1" w14:textId="77777777" w:rsidTr="00E84B07">
        <w:trPr>
          <w:trHeight w:val="645"/>
        </w:trPr>
        <w:tc>
          <w:tcPr>
            <w:tcW w:w="9435" w:type="dxa"/>
            <w:gridSpan w:val="4"/>
          </w:tcPr>
          <w:p w14:paraId="4CA80356" w14:textId="77777777" w:rsidR="00E84B07" w:rsidRPr="00BA495F" w:rsidRDefault="00E84B07" w:rsidP="00E84B07">
            <w:pPr>
              <w:spacing w:after="20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7543AA78" wp14:editId="3FEFAFC9">
                  <wp:extent cx="605155" cy="464185"/>
                  <wp:effectExtent l="0" t="0" r="4445" b="0"/>
                  <wp:docPr id="1" name="Picture 1" descr="Q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                      </w:t>
            </w:r>
            <w:r w:rsidRPr="00BA495F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Historical Association 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Quality Mark Final Report</w:t>
            </w:r>
          </w:p>
        </w:tc>
      </w:tr>
      <w:tr w:rsidR="00E84B07" w:rsidRPr="00BA495F" w14:paraId="0CC20A7C" w14:textId="77777777" w:rsidTr="00E84B07">
        <w:trPr>
          <w:trHeight w:val="570"/>
        </w:trPr>
        <w:tc>
          <w:tcPr>
            <w:tcW w:w="4860" w:type="dxa"/>
            <w:gridSpan w:val="2"/>
          </w:tcPr>
          <w:p w14:paraId="3E81A551" w14:textId="77777777" w:rsidR="00E84B07" w:rsidRPr="00BA495F" w:rsidRDefault="00E84B07" w:rsidP="004C199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Visit to:</w:t>
            </w:r>
            <w:r w:rsidR="00886CD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>King Edward School Pre-Prep, Bath</w:t>
            </w:r>
          </w:p>
        </w:tc>
        <w:tc>
          <w:tcPr>
            <w:tcW w:w="4575" w:type="dxa"/>
            <w:gridSpan w:val="2"/>
          </w:tcPr>
          <w:p w14:paraId="0EAFE3C7" w14:textId="77777777" w:rsidR="00E84B07" w:rsidRPr="00BA495F" w:rsidRDefault="00E84B07" w:rsidP="00E84B0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t>Date: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19</w:t>
            </w:r>
            <w:r w:rsidR="0009779B" w:rsidRPr="0009779B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th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April 2016</w:t>
            </w:r>
          </w:p>
        </w:tc>
      </w:tr>
      <w:tr w:rsidR="00E84B07" w:rsidRPr="00BA495F" w14:paraId="3E147702" w14:textId="77777777" w:rsidTr="00E84B07">
        <w:trPr>
          <w:trHeight w:val="1470"/>
        </w:trPr>
        <w:tc>
          <w:tcPr>
            <w:tcW w:w="9435" w:type="dxa"/>
            <w:gridSpan w:val="4"/>
          </w:tcPr>
          <w:p w14:paraId="0B18EB93" w14:textId="77777777" w:rsidR="00E72FBC" w:rsidRDefault="00E84B07" w:rsidP="003510C6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t>Teaching and Learning</w:t>
            </w:r>
          </w:p>
          <w:p w14:paraId="5612268A" w14:textId="77777777" w:rsidR="0009779B" w:rsidRDefault="0009779B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115D688F" w14:textId="63A5685C" w:rsidR="0009779B" w:rsidRDefault="00704946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It was striking just how motivated p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upils at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King Edward’s Pre-Prep are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about learning History. They talk positively of the rich variety of activities that they have undertaken and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they are very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proud and pleased to talk about their historical knowledge. Children in Year 2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are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well able to remember History lessons from the previous y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ear and are able to apply information learnt in these lessons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to their current learning. </w:t>
            </w:r>
          </w:p>
          <w:p w14:paraId="4780E30E" w14:textId="77777777" w:rsidR="0009779B" w:rsidRDefault="0009779B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6937743" w14:textId="39766F6E" w:rsidR="0009779B" w:rsidRDefault="00704946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History teaching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is very carefully planned. Learning is age-appropriate and there are increasingly high levels of demand and challenge made of pupils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’ 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thinking through the school.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Detailed p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lanning ensures that a range of historical skills and concepts are addressed through very well chosen learning activities. Source-work, role-play, enquiry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and visits are expertly planned and are used to considerable effect.</w:t>
            </w:r>
          </w:p>
          <w:p w14:paraId="525323C0" w14:textId="77777777" w:rsidR="0009779B" w:rsidRDefault="0009779B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A8F517E" w14:textId="5547B0F8" w:rsidR="0009779B" w:rsidRDefault="00704946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Very good p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rogress is apparent in the very well-presented books and in lessons. Prior-knowledge tasks are used well to demonstrate progress. 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>By the end of their time in the school, pupils have made very good gains in historical knowledge and skills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They 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>are</w:t>
            </w:r>
            <w:r w:rsidR="00667D1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also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able to apply </w:t>
            </w:r>
            <w:r w:rsidR="00667D1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their 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>secure chronological knowledge in order to better understand their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new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667D17">
              <w:rPr>
                <w:rFonts w:ascii="Calibri" w:eastAsia="Calibri" w:hAnsi="Calibri"/>
                <w:sz w:val="22"/>
                <w:szCs w:val="22"/>
                <w:lang w:eastAsia="en-US"/>
              </w:rPr>
              <w:t>learning.</w:t>
            </w:r>
            <w:r w:rsidR="00F864F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47363952" w14:textId="77777777" w:rsidR="0009779B" w:rsidRDefault="0009779B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641E3DF" w14:textId="32A42425" w:rsidR="00F864FC" w:rsidRDefault="00F864FC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Resources in the school are very well-used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indeed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Excellent use is made of written material, ICT and local resources.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 lesson on Neil Armstrong involved a superb use of original news footage, which, because of the carefully structured introduction and setting, held the pupils’ attention impressively. </w:t>
            </w:r>
          </w:p>
          <w:p w14:paraId="28CF96C3" w14:textId="77777777" w:rsidR="00F864FC" w:rsidRDefault="00F864FC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ED78BE2" w14:textId="5E0B7994" w:rsidR="0009779B" w:rsidRDefault="00F864FC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Pupil’s input into their learning about history is encouraged and teachers are alert to the possibilities presented by pupil’s interests and questions.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Teachers have a detailed knowledge of their pupils and are keen to build on their interests. </w:t>
            </w:r>
          </w:p>
          <w:p w14:paraId="6E1E3D28" w14:textId="77777777" w:rsidR="00F864FC" w:rsidRDefault="00F864FC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191D227E" w14:textId="2D0487D4" w:rsidR="0009779B" w:rsidRPr="003510C6" w:rsidRDefault="00F864FC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Pupils review their own work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effectively. Teachers use this process as an opportunity to review the impact of their teaching.  T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eachers use on-going assessment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effectively allowing them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to pitch activities precisely. </w:t>
            </w:r>
          </w:p>
          <w:p w14:paraId="0DC0F21A" w14:textId="77777777" w:rsidR="00E84B07" w:rsidRPr="00BA495F" w:rsidRDefault="00E84B07" w:rsidP="0009779B">
            <w:pPr>
              <w:pStyle w:val="Default"/>
              <w:ind w:left="420"/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84B07" w:rsidRPr="00BA495F" w14:paraId="3605E52A" w14:textId="77777777" w:rsidTr="00E84B07">
        <w:trPr>
          <w:trHeight w:val="1965"/>
        </w:trPr>
        <w:tc>
          <w:tcPr>
            <w:tcW w:w="9435" w:type="dxa"/>
            <w:gridSpan w:val="4"/>
          </w:tcPr>
          <w:p w14:paraId="32265DF8" w14:textId="77777777" w:rsidR="00E84B07" w:rsidRDefault="00E84B07" w:rsidP="00024AB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t>Curriculum</w:t>
            </w:r>
          </w:p>
          <w:p w14:paraId="04EFCF8F" w14:textId="77777777" w:rsidR="00F864FC" w:rsidRDefault="00F864FC" w:rsidP="00F864FC">
            <w:pPr>
              <w:spacing w:after="200" w:line="276" w:lineRule="auto"/>
              <w:ind w:left="360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EFA59F7" w14:textId="285A1ED6" w:rsidR="00F864FC" w:rsidRDefault="00F864FC" w:rsidP="00F864FC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history curriculum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at King Edward’s pre-prep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is innovative and engaging. Examples include the study of William Herschel during a topic on Space and a sustained role-play for Year 1 pupils about the Norman invasion of England.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These are curriculum activities well worth sharing with other schools. </w:t>
            </w:r>
          </w:p>
          <w:p w14:paraId="655A61B3" w14:textId="77777777" w:rsidR="00F864FC" w:rsidRDefault="00F864FC" w:rsidP="00F864FC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762EB5D" w14:textId="77777777" w:rsidR="00F864FC" w:rsidRDefault="00F864FC" w:rsidP="00F864FC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principles of enquiry are woven through the curriculum. Pupils are taught to speculate and hypothesise, to consider evidence and to draw conclusions. </w:t>
            </w:r>
            <w:r w:rsidR="00EB256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One very clear example of enquiry was the </w:t>
            </w:r>
            <w:r w:rsidR="00EB256F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 xml:space="preserve">‘History Detective’ activity in Year 2, considering whether the school building could be a Victorian building. </w:t>
            </w:r>
          </w:p>
          <w:p w14:paraId="08EC38BD" w14:textId="77777777" w:rsidR="00F864FC" w:rsidRDefault="00F864FC" w:rsidP="00F864FC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694957FD" w14:textId="4D73653E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curriculum is broad and balanced. It covers a good range of chronological periods. The school has begun to consider whether it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>should in the future adapt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its curriculum to reflect the increasingly diverse pupil groups represented within the school.</w:t>
            </w:r>
          </w:p>
          <w:p w14:paraId="3DC180FE" w14:textId="77777777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437E6252" w14:textId="77777777" w:rsidR="0009779B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Time for learning about History is secure within the curriculum. History has a high prominence: there are regular topics within the curriculum that are history-led and history is a significant element of other topics.</w:t>
            </w:r>
          </w:p>
          <w:p w14:paraId="628EB9A8" w14:textId="77777777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18754204" w14:textId="772BF4C1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subject leader has a very good understanding of historical thinking and the curriculum develops pupils’ historical thinking very well indeed. Year 2 pupils for </w:t>
            </w:r>
            <w:r w:rsidR="00A57745">
              <w:rPr>
                <w:rFonts w:ascii="Calibri" w:eastAsia="Calibri" w:hAnsi="Calibri"/>
                <w:sz w:val="22"/>
                <w:szCs w:val="22"/>
                <w:lang w:eastAsia="en-US"/>
              </w:rPr>
              <w:t>example were asked to consider the question: ‘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Why </w:t>
            </w:r>
            <w:r w:rsidR="00A5774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do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we remember Neil Armstrong</w:t>
            </w:r>
            <w:r w:rsidR="00A57745">
              <w:rPr>
                <w:rFonts w:ascii="Calibri" w:eastAsia="Calibri" w:hAnsi="Calibri"/>
                <w:sz w:val="22"/>
                <w:szCs w:val="22"/>
                <w:lang w:eastAsia="en-US"/>
              </w:rPr>
              <w:t>?’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and from there touched on ideas about historical significance.</w:t>
            </w:r>
          </w:p>
          <w:p w14:paraId="65726114" w14:textId="77777777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0031CFF" w14:textId="4A3C7CB3" w:rsidR="00EB256F" w:rsidRDefault="00EB256F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Exceptionally good use is made by the school of the local area.  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>Pupils from a very young age have developed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 very good knowledge of local elements of history and this informs their wider historical learning. </w:t>
            </w:r>
          </w:p>
          <w:p w14:paraId="427C4F95" w14:textId="77777777" w:rsidR="00024AB8" w:rsidRPr="00024AB8" w:rsidRDefault="00024AB8" w:rsidP="00EB256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84B07" w:rsidRPr="00BA495F" w14:paraId="3845FD72" w14:textId="77777777" w:rsidTr="00AD7010">
        <w:trPr>
          <w:trHeight w:val="699"/>
        </w:trPr>
        <w:tc>
          <w:tcPr>
            <w:tcW w:w="9435" w:type="dxa"/>
            <w:gridSpan w:val="4"/>
          </w:tcPr>
          <w:p w14:paraId="1B355487" w14:textId="77777777" w:rsidR="00E84B07" w:rsidRDefault="00E84B07" w:rsidP="00E84B0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Achievement</w:t>
            </w:r>
          </w:p>
          <w:p w14:paraId="67F87178" w14:textId="77777777" w:rsidR="00EB256F" w:rsidRDefault="00EB256F" w:rsidP="00EB256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4125EBCD" w14:textId="77777777" w:rsidR="00EB256F" w:rsidRDefault="00665955" w:rsidP="00EB256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Pupils achieve at very high levels</w:t>
            </w:r>
            <w:r w:rsidR="00EB256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The oldest pupils (Year 2) have a very good historical knowledge and are able to work with sources with an impressive degree of sophistication. Their chronological knowledge is particularly strong. </w:t>
            </w:r>
          </w:p>
          <w:p w14:paraId="66D3DDD4" w14:textId="77777777" w:rsidR="00EB256F" w:rsidRDefault="00EB256F" w:rsidP="00EB256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68F1FD5B" w14:textId="77777777" w:rsidR="00024AB8" w:rsidRDefault="00EB256F" w:rsidP="0066595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school has developed a new system for assessing and tracking pupil achievement </w:t>
            </w:r>
            <w:r w:rsidR="00665955">
              <w:rPr>
                <w:rFonts w:ascii="Calibri" w:eastAsia="Calibri" w:hAnsi="Calibri"/>
                <w:sz w:val="22"/>
                <w:szCs w:val="22"/>
                <w:lang w:eastAsia="en-US"/>
              </w:rPr>
              <w:t>in History, but recognises that this may be hard to sustain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amidst the demands of core curriculum subjects.</w:t>
            </w:r>
          </w:p>
          <w:p w14:paraId="2691891E" w14:textId="77777777" w:rsidR="00886CD5" w:rsidRPr="00AD7010" w:rsidRDefault="00886CD5" w:rsidP="0009779B">
            <w:pPr>
              <w:spacing w:after="200" w:line="276" w:lineRule="auto"/>
              <w:ind w:left="720"/>
              <w:contextualSpacing/>
            </w:pPr>
          </w:p>
        </w:tc>
      </w:tr>
      <w:tr w:rsidR="00E84B07" w:rsidRPr="00BA495F" w14:paraId="0B784BD1" w14:textId="77777777" w:rsidTr="00E84B07">
        <w:trPr>
          <w:trHeight w:val="1620"/>
        </w:trPr>
        <w:tc>
          <w:tcPr>
            <w:tcW w:w="9435" w:type="dxa"/>
            <w:gridSpan w:val="4"/>
          </w:tcPr>
          <w:p w14:paraId="7018C512" w14:textId="77777777" w:rsidR="00E84B07" w:rsidRDefault="00E84B07" w:rsidP="00AD7010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t>Leadership</w:t>
            </w:r>
          </w:p>
          <w:p w14:paraId="014D2866" w14:textId="77777777" w:rsidR="00665955" w:rsidRDefault="00665955" w:rsidP="00665955">
            <w:pPr>
              <w:spacing w:after="200" w:line="276" w:lineRule="auto"/>
              <w:ind w:left="720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813710E" w14:textId="77777777" w:rsidR="00665955" w:rsidRDefault="00D74CE0" w:rsidP="0066595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Leaders in the school (Head, Subject Leader and Governors) share a commitment to the status of History within the school.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There is a real sense of understanding about the contribution that history currently makes and about further potential. </w:t>
            </w:r>
          </w:p>
          <w:p w14:paraId="2B09107C" w14:textId="77777777" w:rsidR="00667D17" w:rsidRDefault="00667D17" w:rsidP="0066595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6CE4C8B4" w14:textId="15CA26C3" w:rsidR="00D74CE0" w:rsidRDefault="00D74CE0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History is 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very well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organised and managed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by the subject leader, who brings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diligence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>, energy, insight and precision to his role. The subject leader provides effective support to other staff members:</w:t>
            </w:r>
            <w:r w:rsidR="00667D1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8A251B">
              <w:rPr>
                <w:rFonts w:ascii="Calibri" w:eastAsia="Calibri" w:hAnsi="Calibri"/>
                <w:sz w:val="22"/>
                <w:szCs w:val="22"/>
                <w:lang w:eastAsia="en-US"/>
              </w:rPr>
              <w:t>of planning sequences and advising about pedagogy.</w:t>
            </w:r>
          </w:p>
          <w:p w14:paraId="0D88AB28" w14:textId="77777777" w:rsidR="00704946" w:rsidRDefault="00704946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1FF48396" w14:textId="77777777" w:rsidR="0009779B" w:rsidRPr="00AD7010" w:rsidRDefault="008A251B" w:rsidP="008A251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There is a strong r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>ef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lective and collaborative ethos and a culture of 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>self-evaluation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Staff discuss their teaching and pupil learning with one another and are looking for ways to improve and further their work. 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school is very open to parents and shares information about history clearly with them. </w:t>
            </w:r>
          </w:p>
          <w:p w14:paraId="0268D9CD" w14:textId="77777777" w:rsidR="00024AB8" w:rsidRPr="00BA495F" w:rsidRDefault="00024AB8" w:rsidP="0009779B">
            <w:pPr>
              <w:pStyle w:val="Default"/>
              <w:ind w:left="420"/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84B07" w:rsidRPr="00BA495F" w14:paraId="606ED961" w14:textId="77777777" w:rsidTr="00121ACF">
        <w:trPr>
          <w:trHeight w:val="1408"/>
        </w:trPr>
        <w:tc>
          <w:tcPr>
            <w:tcW w:w="9435" w:type="dxa"/>
            <w:gridSpan w:val="4"/>
          </w:tcPr>
          <w:p w14:paraId="21014934" w14:textId="66BBB444" w:rsidR="00E84B07" w:rsidRPr="00BA495F" w:rsidRDefault="00E84B07" w:rsidP="00E84B0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 xml:space="preserve">Enrichment </w:t>
            </w:r>
          </w:p>
          <w:p w14:paraId="496203CE" w14:textId="77777777" w:rsidR="00E84B07" w:rsidRDefault="00E84B07" w:rsidP="00E84B07">
            <w:pPr>
              <w:spacing w:after="200" w:line="276" w:lineRule="auto"/>
              <w:ind w:left="720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6C599A81" w14:textId="107C4EA7" w:rsidR="00A57745" w:rsidRDefault="00A57745" w:rsidP="00A5774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The subject leader has a very clear understanding of the contribution that History makes to pupils’ whole learning and this fits ver</w:t>
            </w:r>
            <w:r w:rsidR="00704946">
              <w:rPr>
                <w:rFonts w:ascii="Calibri" w:eastAsia="Calibri" w:hAnsi="Calibri"/>
                <w:sz w:val="22"/>
                <w:szCs w:val="22"/>
                <w:lang w:eastAsia="en-US"/>
              </w:rPr>
              <w:t>y clearly with the Headteacher’s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vision for learning within the school. </w:t>
            </w:r>
          </w:p>
          <w:p w14:paraId="5038E212" w14:textId="7A4FC7A0" w:rsidR="00E84B07" w:rsidRDefault="00E84B07" w:rsidP="00A5774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61AA2DB9" w14:textId="61EED721" w:rsidR="00A57745" w:rsidRDefault="00A57745" w:rsidP="00A5774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The school provides a rich Learning Environment for History. There is an impressive new timeline in the playground, smaller timelines in the classrooms, History-based displays and artefacts.  The programme of visits and vis</w:t>
            </w:r>
            <w:r w:rsidR="00121ACF">
              <w:rPr>
                <w:rFonts w:ascii="Calibri" w:eastAsia="Calibri" w:hAnsi="Calibri"/>
                <w:sz w:val="22"/>
                <w:szCs w:val="22"/>
                <w:lang w:eastAsia="en-US"/>
              </w:rPr>
              <w:t>itors provides further enrichment of the History curriculum.</w:t>
            </w:r>
          </w:p>
          <w:p w14:paraId="58A901ED" w14:textId="77777777" w:rsidR="00A57745" w:rsidRDefault="00A57745" w:rsidP="00A5774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49FF865E" w14:textId="2A05E264" w:rsidR="00A57745" w:rsidRDefault="00A57745" w:rsidP="00A57745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The school website reinforces the prominence given to History in the school. </w:t>
            </w:r>
          </w:p>
          <w:p w14:paraId="22BFEE8C" w14:textId="77777777" w:rsidR="00121ACF" w:rsidRDefault="00121ACF" w:rsidP="0009779B">
            <w:pPr>
              <w:spacing w:after="200" w:line="276" w:lineRule="auto"/>
              <w:ind w:left="720"/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14:paraId="67D9534F" w14:textId="77777777" w:rsidR="0009779B" w:rsidRDefault="00121ACF" w:rsidP="00121AC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The subject leader has begun to draw together a group of other history leads and the school has identified other schools to whom it might offer support. </w:t>
            </w:r>
          </w:p>
          <w:p w14:paraId="1B492721" w14:textId="4FC542C8" w:rsidR="00667D17" w:rsidRPr="00BA495F" w:rsidRDefault="00667D17" w:rsidP="00121ACF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84B07" w:rsidRPr="00BA495F" w14:paraId="77D07DD5" w14:textId="77777777" w:rsidTr="00E84B07">
        <w:trPr>
          <w:trHeight w:val="2076"/>
        </w:trPr>
        <w:tc>
          <w:tcPr>
            <w:tcW w:w="9435" w:type="dxa"/>
            <w:gridSpan w:val="4"/>
          </w:tcPr>
          <w:p w14:paraId="17964784" w14:textId="77777777" w:rsidR="00E84B07" w:rsidRDefault="00E84B07" w:rsidP="00E84B0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495F">
              <w:rPr>
                <w:rFonts w:ascii="Calibri" w:eastAsia="Calibri" w:hAnsi="Calibri"/>
                <w:sz w:val="22"/>
                <w:szCs w:val="22"/>
                <w:lang w:eastAsia="en-US"/>
              </w:rPr>
              <w:t>Other</w:t>
            </w:r>
          </w:p>
          <w:p w14:paraId="7B424E4B" w14:textId="77777777" w:rsidR="00E84B07" w:rsidRDefault="00E84B07" w:rsidP="00E84B07">
            <w:pPr>
              <w:spacing w:after="200" w:line="276" w:lineRule="auto"/>
              <w:ind w:left="360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9C28E0E" w14:textId="36EA2E06" w:rsidR="00886CD5" w:rsidRPr="00BA495F" w:rsidRDefault="0009779B" w:rsidP="00121ACF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T</w:t>
            </w:r>
            <w:r w:rsidR="00121ACF">
              <w:rPr>
                <w:rFonts w:ascii="Calibri" w:eastAsia="Calibri" w:hAnsi="Calibri"/>
                <w:sz w:val="22"/>
                <w:szCs w:val="22"/>
              </w:rPr>
              <w:t xml:space="preserve">he school has made a considerable investment in History through the creation of an externally displayed timeline. This incorporates pupil work and provides a very strong complement to the excellent use of timelines being made in lessons and in the classroom environments. </w:t>
            </w:r>
          </w:p>
        </w:tc>
      </w:tr>
      <w:tr w:rsidR="00E84B07" w:rsidRPr="00BA495F" w14:paraId="5788B6AA" w14:textId="77777777" w:rsidTr="00121ACF">
        <w:trPr>
          <w:trHeight w:val="1159"/>
        </w:trPr>
        <w:tc>
          <w:tcPr>
            <w:tcW w:w="9435" w:type="dxa"/>
            <w:gridSpan w:val="4"/>
          </w:tcPr>
          <w:p w14:paraId="147850EA" w14:textId="77777777" w:rsidR="00E84B07" w:rsidRDefault="00E84B07" w:rsidP="00E84B07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Final Comments: </w:t>
            </w:r>
          </w:p>
          <w:p w14:paraId="289C4CF3" w14:textId="77777777" w:rsidR="00BF137D" w:rsidRDefault="00BF137D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5593CC0" w14:textId="772CAADA" w:rsidR="00667D17" w:rsidRDefault="00BF137D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Thoughtful and rigorous historical thinking combined with a realistic understanding of the learning needs of young children mean that King Edward’s Pre-Prep provides its pupils with a very good start to their study of history. The school is well-placed to develop this work further and to share its knowledge and approaches with others more widely. </w:t>
            </w:r>
          </w:p>
          <w:p w14:paraId="2C5BC45C" w14:textId="08E647B2" w:rsidR="00BF137D" w:rsidRPr="00BA495F" w:rsidRDefault="00BF137D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84B07" w:rsidRPr="00BA495F" w14:paraId="31E6C1BB" w14:textId="77777777" w:rsidTr="00E84B07">
        <w:trPr>
          <w:trHeight w:val="742"/>
        </w:trPr>
        <w:tc>
          <w:tcPr>
            <w:tcW w:w="2830" w:type="dxa"/>
            <w:tcBorders>
              <w:bottom w:val="single" w:sz="4" w:space="0" w:color="auto"/>
            </w:tcBorders>
          </w:tcPr>
          <w:p w14:paraId="32D48F45" w14:textId="77777777" w:rsidR="00E84B07" w:rsidRDefault="00E84B07" w:rsidP="00E84B07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Award made? Yes</w:t>
            </w:r>
          </w:p>
          <w:p w14:paraId="1F89190B" w14:textId="77777777" w:rsidR="00E84B07" w:rsidRDefault="00E84B07" w:rsidP="0009779B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Level: </w:t>
            </w:r>
            <w:r w:rsidR="0009779B">
              <w:rPr>
                <w:rFonts w:ascii="Calibri" w:eastAsia="Calibri" w:hAnsi="Calibri"/>
                <w:sz w:val="22"/>
                <w:szCs w:val="22"/>
                <w:lang w:eastAsia="en-US"/>
              </w:rPr>
              <w:t>Gold</w:t>
            </w:r>
          </w:p>
        </w:tc>
        <w:tc>
          <w:tcPr>
            <w:tcW w:w="3449" w:type="dxa"/>
            <w:gridSpan w:val="2"/>
            <w:tcBorders>
              <w:bottom w:val="single" w:sz="4" w:space="0" w:color="auto"/>
            </w:tcBorders>
          </w:tcPr>
          <w:p w14:paraId="69927FB4" w14:textId="310EF76F" w:rsidR="00E84B07" w:rsidRDefault="00E84B07" w:rsidP="00E84B07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Date of Award:</w:t>
            </w:r>
            <w:r w:rsidR="0062006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May 2016</w:t>
            </w:r>
          </w:p>
        </w:tc>
        <w:tc>
          <w:tcPr>
            <w:tcW w:w="3156" w:type="dxa"/>
            <w:tcBorders>
              <w:bottom w:val="single" w:sz="4" w:space="0" w:color="auto"/>
            </w:tcBorders>
          </w:tcPr>
          <w:p w14:paraId="343A0BE3" w14:textId="2A9D6DDC" w:rsidR="00E84B07" w:rsidRDefault="00E84B07" w:rsidP="00E84B07">
            <w:p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Renewal Date</w:t>
            </w:r>
            <w:r w:rsidR="00620063">
              <w:rPr>
                <w:rFonts w:ascii="Calibri" w:eastAsia="Calibri" w:hAnsi="Calibri"/>
                <w:sz w:val="22"/>
                <w:szCs w:val="22"/>
                <w:lang w:eastAsia="en-US"/>
              </w:rPr>
              <w:t>: May 31 2019</w:t>
            </w:r>
          </w:p>
        </w:tc>
      </w:tr>
    </w:tbl>
    <w:p w14:paraId="7CA2FA99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</w:p>
    <w:p w14:paraId="1374AD5B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</w:p>
    <w:p w14:paraId="7E2B3394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</w:p>
    <w:p w14:paraId="5A66A575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</w:p>
    <w:p w14:paraId="2EE65A8A" w14:textId="77777777" w:rsidR="00E84B07" w:rsidRDefault="00E84B07" w:rsidP="00E84B07">
      <w:pPr>
        <w:rPr>
          <w:rFonts w:ascii="Arial" w:hAnsi="Arial" w:cs="Arial"/>
          <w:b/>
          <w:sz w:val="28"/>
          <w:szCs w:val="28"/>
        </w:rPr>
      </w:pPr>
    </w:p>
    <w:p w14:paraId="562C1C39" w14:textId="77777777" w:rsidR="00F0343C" w:rsidRDefault="00F0343C"/>
    <w:sectPr w:rsidR="00F0343C" w:rsidSect="00F0343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Frutiger LT Std 45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35F15"/>
    <w:multiLevelType w:val="hybridMultilevel"/>
    <w:tmpl w:val="C3705BCA"/>
    <w:lvl w:ilvl="0" w:tplc="D7F8D0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07"/>
    <w:rsid w:val="00024AB8"/>
    <w:rsid w:val="0009779B"/>
    <w:rsid w:val="00121ACF"/>
    <w:rsid w:val="003510C6"/>
    <w:rsid w:val="004C1998"/>
    <w:rsid w:val="00620063"/>
    <w:rsid w:val="00665955"/>
    <w:rsid w:val="00667D17"/>
    <w:rsid w:val="00704946"/>
    <w:rsid w:val="008764A9"/>
    <w:rsid w:val="00886CD5"/>
    <w:rsid w:val="008A251B"/>
    <w:rsid w:val="00A57745"/>
    <w:rsid w:val="00AD7010"/>
    <w:rsid w:val="00B505D2"/>
    <w:rsid w:val="00B53A17"/>
    <w:rsid w:val="00BF137D"/>
    <w:rsid w:val="00D74CE0"/>
    <w:rsid w:val="00E72FBC"/>
    <w:rsid w:val="00E84B07"/>
    <w:rsid w:val="00EB256F"/>
    <w:rsid w:val="00F0343C"/>
    <w:rsid w:val="00F8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4D47F"/>
  <w14:defaultImageDpi w14:val="300"/>
  <w15:docId w15:val="{A78CFD6D-61E8-4620-987F-16AB6E94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B07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B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B07"/>
    <w:rPr>
      <w:rFonts w:ascii="Lucida Grande" w:eastAsia="Times New Roman" w:hAnsi="Lucida Grande" w:cs="Lucida Grande"/>
      <w:sz w:val="18"/>
      <w:szCs w:val="18"/>
      <w:lang w:val="en-GB" w:eastAsia="en-GB"/>
    </w:rPr>
  </w:style>
  <w:style w:type="paragraph" w:customStyle="1" w:styleId="Default">
    <w:name w:val="Default"/>
    <w:rsid w:val="00E72FBC"/>
    <w:pPr>
      <w:autoSpaceDE w:val="0"/>
      <w:autoSpaceDN w:val="0"/>
      <w:adjustRightInd w:val="0"/>
    </w:pPr>
    <w:rPr>
      <w:rFonts w:ascii="Frutiger LT Std 45 Light" w:eastAsiaTheme="minorHAnsi" w:hAnsi="Frutiger LT Std 45 Light" w:cs="Frutiger LT Std 45 Light"/>
      <w:color w:val="000000"/>
      <w:lang w:val="en-GB"/>
    </w:rPr>
  </w:style>
  <w:style w:type="character" w:customStyle="1" w:styleId="A0">
    <w:name w:val="A0"/>
    <w:uiPriority w:val="99"/>
    <w:rsid w:val="00E72FBC"/>
    <w:rPr>
      <w:rFonts w:cs="Frutiger LT Std 45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5531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Sandford School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Gower</dc:creator>
  <cp:lastModifiedBy>Boydell, S</cp:lastModifiedBy>
  <cp:revision>2</cp:revision>
  <dcterms:created xsi:type="dcterms:W3CDTF">2018-03-06T17:54:00Z</dcterms:created>
  <dcterms:modified xsi:type="dcterms:W3CDTF">2018-03-06T17:54:00Z</dcterms:modified>
</cp:coreProperties>
</file>